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136" w:rsidRPr="006C5648" w:rsidRDefault="00172136" w:rsidP="00172136">
      <w:pPr>
        <w:jc w:val="center"/>
        <w:rPr>
          <w:rFonts w:ascii="Arial" w:hAnsi="Arial" w:cs="Arial"/>
          <w:b/>
          <w:sz w:val="20"/>
          <w:szCs w:val="20"/>
        </w:rPr>
      </w:pPr>
      <w:r>
        <w:rPr>
          <w:rFonts w:ascii="Arial" w:hAnsi="Arial" w:cs="Arial"/>
          <w:b/>
          <w:sz w:val="20"/>
          <w:szCs w:val="20"/>
        </w:rPr>
        <w:t>Certificate Examination in Microfinance</w:t>
      </w:r>
    </w:p>
    <w:p w:rsidR="00BF2165" w:rsidRPr="006C5648" w:rsidRDefault="00BF2165" w:rsidP="00BF2165">
      <w:pPr>
        <w:jc w:val="center"/>
        <w:rPr>
          <w:rFonts w:ascii="Arial" w:hAnsi="Arial" w:cs="Arial"/>
          <w:sz w:val="20"/>
          <w:szCs w:val="20"/>
        </w:rPr>
      </w:pPr>
    </w:p>
    <w:tbl>
      <w:tblPr>
        <w:tblStyle w:val="TableGrid"/>
        <w:tblW w:w="0" w:type="auto"/>
        <w:tblInd w:w="0" w:type="dxa"/>
        <w:tblLook w:val="04A0" w:firstRow="1" w:lastRow="0" w:firstColumn="1" w:lastColumn="0" w:noHBand="0" w:noVBand="1"/>
      </w:tblPr>
      <w:tblGrid>
        <w:gridCol w:w="846"/>
        <w:gridCol w:w="8170"/>
      </w:tblGrid>
      <w:tr w:rsidR="00BF2165" w:rsidRPr="006C5648" w:rsidTr="00BF2165">
        <w:tc>
          <w:tcPr>
            <w:tcW w:w="846" w:type="dxa"/>
            <w:tcBorders>
              <w:top w:val="single" w:sz="4" w:space="0" w:color="auto"/>
              <w:left w:val="single" w:sz="4" w:space="0" w:color="auto"/>
              <w:bottom w:val="single" w:sz="4" w:space="0" w:color="auto"/>
              <w:right w:val="single" w:sz="4" w:space="0" w:color="auto"/>
            </w:tcBorders>
            <w:hideMark/>
          </w:tcPr>
          <w:p w:rsidR="00BF2165" w:rsidRPr="006C5648" w:rsidRDefault="00BF2165">
            <w:pPr>
              <w:spacing w:line="240" w:lineRule="auto"/>
              <w:jc w:val="center"/>
              <w:rPr>
                <w:rFonts w:ascii="Arial" w:hAnsi="Arial" w:cs="Arial"/>
                <w:b/>
                <w:sz w:val="20"/>
                <w:szCs w:val="20"/>
              </w:rPr>
            </w:pPr>
            <w:proofErr w:type="spellStart"/>
            <w:r w:rsidRPr="006C5648">
              <w:rPr>
                <w:rFonts w:ascii="Arial" w:hAnsi="Arial" w:cs="Arial"/>
                <w:b/>
                <w:sz w:val="20"/>
                <w:szCs w:val="20"/>
              </w:rPr>
              <w:t>S.No</w:t>
            </w:r>
            <w:proofErr w:type="spellEnd"/>
            <w:r w:rsidRPr="006C5648">
              <w:rPr>
                <w:rFonts w:ascii="Arial" w:hAnsi="Arial" w:cs="Arial"/>
                <w:b/>
                <w:sz w:val="20"/>
                <w:szCs w:val="20"/>
              </w:rPr>
              <w:t>.</w:t>
            </w:r>
          </w:p>
        </w:tc>
        <w:tc>
          <w:tcPr>
            <w:tcW w:w="8170" w:type="dxa"/>
            <w:tcBorders>
              <w:top w:val="single" w:sz="4" w:space="0" w:color="auto"/>
              <w:left w:val="single" w:sz="4" w:space="0" w:color="auto"/>
              <w:bottom w:val="single" w:sz="4" w:space="0" w:color="auto"/>
              <w:right w:val="single" w:sz="4" w:space="0" w:color="auto"/>
            </w:tcBorders>
            <w:hideMark/>
          </w:tcPr>
          <w:p w:rsidR="00BF2165" w:rsidRPr="006C5648" w:rsidRDefault="00BF2165">
            <w:pPr>
              <w:spacing w:line="240" w:lineRule="auto"/>
              <w:jc w:val="center"/>
              <w:rPr>
                <w:rFonts w:ascii="Arial" w:hAnsi="Arial" w:cs="Arial"/>
                <w:b/>
                <w:sz w:val="20"/>
                <w:szCs w:val="20"/>
              </w:rPr>
            </w:pPr>
            <w:r w:rsidRPr="006C5648">
              <w:rPr>
                <w:rFonts w:ascii="Arial" w:hAnsi="Arial" w:cs="Arial"/>
                <w:b/>
                <w:sz w:val="20"/>
                <w:szCs w:val="20"/>
              </w:rPr>
              <w:t>RBI Notification</w:t>
            </w:r>
          </w:p>
        </w:tc>
      </w:tr>
      <w:tr w:rsidR="00172136" w:rsidRPr="006C5648" w:rsidTr="00066AD4">
        <w:tc>
          <w:tcPr>
            <w:tcW w:w="846" w:type="dxa"/>
            <w:tcBorders>
              <w:top w:val="single" w:sz="4" w:space="0" w:color="auto"/>
              <w:left w:val="single" w:sz="4" w:space="0" w:color="auto"/>
              <w:bottom w:val="single" w:sz="4" w:space="0" w:color="auto"/>
              <w:right w:val="single" w:sz="4" w:space="0" w:color="auto"/>
            </w:tcBorders>
          </w:tcPr>
          <w:p w:rsidR="00172136" w:rsidRPr="006C5648" w:rsidRDefault="00172136" w:rsidP="00172136">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72136" w:rsidRPr="00494F1F" w:rsidRDefault="00172136" w:rsidP="00172136">
            <w:pPr>
              <w:spacing w:line="240" w:lineRule="auto"/>
              <w:jc w:val="both"/>
              <w:rPr>
                <w:rFonts w:ascii="Calibri" w:hAnsi="Calibri" w:cs="Calibri"/>
                <w:color w:val="000000"/>
                <w:sz w:val="20"/>
                <w:szCs w:val="20"/>
              </w:rPr>
            </w:pPr>
            <w:r w:rsidRPr="00494F1F">
              <w:rPr>
                <w:rFonts w:ascii="Calibri" w:hAnsi="Calibri" w:cs="Calibri"/>
                <w:color w:val="000000"/>
                <w:sz w:val="20"/>
                <w:szCs w:val="20"/>
              </w:rPr>
              <w:t>Master Circular on Credit Facilities to Minority Communities</w:t>
            </w:r>
          </w:p>
        </w:tc>
      </w:tr>
      <w:tr w:rsidR="00155008" w:rsidRPr="006C5648" w:rsidTr="00BF2165">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494F1F" w:rsidRDefault="00C109D0" w:rsidP="00155008">
            <w:pPr>
              <w:spacing w:line="240" w:lineRule="auto"/>
              <w:jc w:val="both"/>
              <w:rPr>
                <w:rFonts w:ascii="Calibri" w:hAnsi="Calibri" w:cs="Calibri"/>
                <w:color w:val="000000"/>
                <w:sz w:val="20"/>
                <w:szCs w:val="20"/>
              </w:rPr>
            </w:pPr>
            <w:r>
              <w:rPr>
                <w:rFonts w:ascii="Calibri" w:hAnsi="Calibri" w:cs="Calibri"/>
                <w:color w:val="000000"/>
                <w:sz w:val="20"/>
                <w:szCs w:val="20"/>
              </w:rPr>
              <w:t>Review of Prudential Norms – Risk Weights for Exposures to Corporates and NBFCs</w:t>
            </w:r>
          </w:p>
        </w:tc>
      </w:tr>
      <w:tr w:rsidR="00172136" w:rsidRPr="006C5648" w:rsidTr="00BF2165">
        <w:tc>
          <w:tcPr>
            <w:tcW w:w="846" w:type="dxa"/>
            <w:tcBorders>
              <w:top w:val="single" w:sz="4" w:space="0" w:color="auto"/>
              <w:left w:val="single" w:sz="4" w:space="0" w:color="auto"/>
              <w:bottom w:val="single" w:sz="4" w:space="0" w:color="auto"/>
              <w:right w:val="single" w:sz="4" w:space="0" w:color="auto"/>
            </w:tcBorders>
          </w:tcPr>
          <w:p w:rsidR="00172136" w:rsidRPr="006C5648" w:rsidRDefault="00172136"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72136" w:rsidRDefault="00172136" w:rsidP="00155008">
            <w:pPr>
              <w:spacing w:line="240" w:lineRule="auto"/>
              <w:jc w:val="both"/>
              <w:rPr>
                <w:rFonts w:ascii="Calibri" w:hAnsi="Calibri" w:cs="Calibri"/>
                <w:color w:val="000000"/>
                <w:sz w:val="20"/>
                <w:szCs w:val="20"/>
              </w:rPr>
            </w:pPr>
            <w:r>
              <w:rPr>
                <w:rFonts w:ascii="Calibri" w:hAnsi="Calibri" w:cs="Calibri"/>
                <w:color w:val="000000"/>
                <w:sz w:val="20"/>
                <w:szCs w:val="20"/>
              </w:rPr>
              <w:t>Multiple NBFCs in a Group: Classification in Middle Layer</w:t>
            </w:r>
          </w:p>
        </w:tc>
      </w:tr>
      <w:tr w:rsidR="00155008" w:rsidRPr="006C5648" w:rsidTr="00BF2165">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494F1F" w:rsidRDefault="00C109D0" w:rsidP="00155008">
            <w:pPr>
              <w:spacing w:line="240" w:lineRule="auto"/>
              <w:jc w:val="both"/>
              <w:rPr>
                <w:rFonts w:ascii="Calibri" w:hAnsi="Calibri" w:cs="Calibri"/>
                <w:color w:val="000000"/>
                <w:sz w:val="20"/>
                <w:szCs w:val="20"/>
              </w:rPr>
            </w:pPr>
            <w:r>
              <w:rPr>
                <w:rFonts w:ascii="Calibri" w:hAnsi="Calibri" w:cs="Calibri"/>
                <w:color w:val="000000"/>
                <w:sz w:val="20"/>
                <w:szCs w:val="20"/>
              </w:rPr>
              <w:t>Reserve Bank of India (Financial Statements - Presentation and Disclosures) Directions, 2021 - Disclosure of Divergence in Asset Classification and Provisioning</w:t>
            </w:r>
          </w:p>
        </w:tc>
      </w:tr>
      <w:tr w:rsidR="00155008" w:rsidRPr="006C5648" w:rsidTr="00BF2165">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494F1F" w:rsidRDefault="00172136" w:rsidP="00155008">
            <w:pPr>
              <w:spacing w:line="240" w:lineRule="auto"/>
              <w:jc w:val="both"/>
              <w:rPr>
                <w:rFonts w:ascii="Calibri" w:hAnsi="Calibri" w:cs="Calibri"/>
                <w:color w:val="000000"/>
                <w:sz w:val="20"/>
                <w:szCs w:val="20"/>
              </w:rPr>
            </w:pPr>
            <w:r>
              <w:rPr>
                <w:rFonts w:ascii="Calibri" w:hAnsi="Calibri" w:cs="Calibri"/>
                <w:color w:val="000000"/>
                <w:sz w:val="20"/>
                <w:szCs w:val="20"/>
              </w:rPr>
              <w:t>Eligibility Criteria for offering Internet Banking Facility by Regional Rural Banks, 2022</w:t>
            </w:r>
          </w:p>
        </w:tc>
      </w:tr>
      <w:tr w:rsidR="005748AD" w:rsidRPr="006C5648" w:rsidTr="00BF2165">
        <w:tc>
          <w:tcPr>
            <w:tcW w:w="846" w:type="dxa"/>
            <w:tcBorders>
              <w:top w:val="single" w:sz="4" w:space="0" w:color="auto"/>
              <w:left w:val="single" w:sz="4" w:space="0" w:color="auto"/>
              <w:bottom w:val="single" w:sz="4" w:space="0" w:color="auto"/>
              <w:right w:val="single" w:sz="4" w:space="0" w:color="auto"/>
            </w:tcBorders>
          </w:tcPr>
          <w:p w:rsidR="005748AD" w:rsidRPr="006C5648" w:rsidRDefault="005748AD"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C109D0" w:rsidRPr="00494F1F" w:rsidRDefault="00C109D0" w:rsidP="00155008">
            <w:pPr>
              <w:spacing w:line="240" w:lineRule="auto"/>
              <w:jc w:val="both"/>
              <w:rPr>
                <w:rFonts w:ascii="Calibri" w:hAnsi="Calibri" w:cs="Calibri"/>
                <w:color w:val="000000"/>
                <w:sz w:val="20"/>
                <w:szCs w:val="20"/>
              </w:rPr>
            </w:pPr>
            <w:r>
              <w:rPr>
                <w:rFonts w:ascii="Calibri" w:hAnsi="Calibri" w:cs="Calibri"/>
                <w:color w:val="000000"/>
                <w:sz w:val="20"/>
                <w:szCs w:val="20"/>
              </w:rPr>
              <w:t xml:space="preserve">Modified Interest Subvention Scheme for Short Term Loans for Agriculture and Allied Activities availed through </w:t>
            </w:r>
            <w:proofErr w:type="spellStart"/>
            <w:r>
              <w:rPr>
                <w:rFonts w:ascii="Calibri" w:hAnsi="Calibri" w:cs="Calibri"/>
                <w:color w:val="000000"/>
                <w:sz w:val="20"/>
                <w:szCs w:val="20"/>
              </w:rPr>
              <w:t>Kisan</w:t>
            </w:r>
            <w:proofErr w:type="spellEnd"/>
            <w:r>
              <w:rPr>
                <w:rFonts w:ascii="Calibri" w:hAnsi="Calibri" w:cs="Calibri"/>
                <w:color w:val="000000"/>
                <w:sz w:val="20"/>
                <w:szCs w:val="20"/>
              </w:rPr>
              <w:t xml:space="preserve"> Credit Card (KCC) during the financial years 2022-23 and 2023-24</w:t>
            </w:r>
          </w:p>
        </w:tc>
      </w:tr>
      <w:tr w:rsidR="00C109D0" w:rsidRPr="006C5648" w:rsidTr="00B357D8">
        <w:tc>
          <w:tcPr>
            <w:tcW w:w="846" w:type="dxa"/>
            <w:tcBorders>
              <w:top w:val="single" w:sz="4" w:space="0" w:color="auto"/>
              <w:left w:val="single" w:sz="4" w:space="0" w:color="auto"/>
              <w:bottom w:val="single" w:sz="4" w:space="0" w:color="auto"/>
              <w:right w:val="single" w:sz="4" w:space="0" w:color="auto"/>
            </w:tcBorders>
          </w:tcPr>
          <w:p w:rsidR="00C109D0" w:rsidRPr="006C5648" w:rsidRDefault="00C109D0" w:rsidP="00C109D0">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vAlign w:val="center"/>
          </w:tcPr>
          <w:p w:rsidR="00C109D0" w:rsidRDefault="00C109D0" w:rsidP="00C109D0">
            <w:pPr>
              <w:spacing w:line="240" w:lineRule="auto"/>
              <w:rPr>
                <w:rFonts w:ascii="Calibri" w:hAnsi="Calibri" w:cs="Calibri"/>
                <w:color w:val="000000"/>
                <w:sz w:val="20"/>
                <w:szCs w:val="20"/>
              </w:rPr>
            </w:pPr>
            <w:r>
              <w:rPr>
                <w:rFonts w:ascii="Calibri" w:hAnsi="Calibri" w:cs="Calibri"/>
                <w:color w:val="000000"/>
                <w:sz w:val="20"/>
                <w:szCs w:val="20"/>
              </w:rPr>
              <w:t>Inclusion of Goods and Service Tax Network (GSTN) as a Financial Information Provider under Account Aggregator Framework</w:t>
            </w:r>
          </w:p>
        </w:tc>
      </w:tr>
      <w:tr w:rsidR="005748AD" w:rsidRPr="006C5648" w:rsidTr="00BF2165">
        <w:tc>
          <w:tcPr>
            <w:tcW w:w="846" w:type="dxa"/>
            <w:tcBorders>
              <w:top w:val="single" w:sz="4" w:space="0" w:color="auto"/>
              <w:left w:val="single" w:sz="4" w:space="0" w:color="auto"/>
              <w:bottom w:val="single" w:sz="4" w:space="0" w:color="auto"/>
              <w:right w:val="single" w:sz="4" w:space="0" w:color="auto"/>
            </w:tcBorders>
          </w:tcPr>
          <w:p w:rsidR="005748AD" w:rsidRPr="006C5648" w:rsidRDefault="005748AD"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5748AD" w:rsidRPr="00494F1F" w:rsidRDefault="00C109D0" w:rsidP="00155008">
            <w:pPr>
              <w:spacing w:line="240" w:lineRule="auto"/>
              <w:jc w:val="both"/>
              <w:rPr>
                <w:rFonts w:ascii="Calibri" w:hAnsi="Calibri" w:cs="Calibri"/>
                <w:color w:val="000000"/>
                <w:sz w:val="20"/>
                <w:szCs w:val="20"/>
              </w:rPr>
            </w:pPr>
            <w:r>
              <w:rPr>
                <w:rFonts w:ascii="Calibri" w:hAnsi="Calibri" w:cs="Calibri"/>
                <w:color w:val="000000"/>
                <w:sz w:val="20"/>
                <w:szCs w:val="20"/>
              </w:rPr>
              <w:t>Data Format for Furnishing of Credit Information to Credit Information Companies and other Regulatory Measures</w:t>
            </w:r>
          </w:p>
        </w:tc>
      </w:tr>
    </w:tbl>
    <w:p w:rsidR="00744532" w:rsidRDefault="00744532">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E65289" w:rsidRDefault="00E65289">
      <w:pPr>
        <w:spacing w:line="259" w:lineRule="auto"/>
        <w:rPr>
          <w:rFonts w:ascii="Arial" w:hAnsi="Arial" w:cs="Arial"/>
          <w:sz w:val="20"/>
          <w:szCs w:val="20"/>
        </w:rPr>
      </w:pPr>
    </w:p>
    <w:p w:rsidR="00E047EF" w:rsidRDefault="00E047EF" w:rsidP="00213882">
      <w:pPr>
        <w:spacing w:line="259" w:lineRule="auto"/>
        <w:rPr>
          <w:rFonts w:ascii="Arial" w:hAnsi="Arial" w:cs="Arial"/>
          <w:b/>
          <w:bCs/>
          <w:color w:val="000000"/>
          <w:sz w:val="20"/>
          <w:szCs w:val="20"/>
        </w:rPr>
      </w:pPr>
    </w:p>
    <w:p w:rsidR="00172136" w:rsidRDefault="00172136" w:rsidP="00213882">
      <w:pPr>
        <w:spacing w:line="259" w:lineRule="auto"/>
        <w:rPr>
          <w:rFonts w:ascii="Arial" w:hAnsi="Arial" w:cs="Arial"/>
          <w:b/>
          <w:bCs/>
          <w:color w:val="000000"/>
          <w:sz w:val="20"/>
          <w:szCs w:val="20"/>
        </w:rPr>
      </w:pPr>
    </w:p>
    <w:p w:rsidR="00172136" w:rsidRDefault="00172136" w:rsidP="00213882">
      <w:pPr>
        <w:spacing w:line="259" w:lineRule="auto"/>
        <w:rPr>
          <w:rFonts w:ascii="Arial" w:hAnsi="Arial" w:cs="Arial"/>
          <w:b/>
          <w:bCs/>
          <w:color w:val="000000"/>
          <w:sz w:val="20"/>
          <w:szCs w:val="20"/>
        </w:rPr>
      </w:pPr>
    </w:p>
    <w:p w:rsidR="00172136" w:rsidRDefault="00172136" w:rsidP="00213882">
      <w:pPr>
        <w:spacing w:line="259" w:lineRule="auto"/>
        <w:rPr>
          <w:rFonts w:ascii="Arial" w:hAnsi="Arial" w:cs="Arial"/>
          <w:b/>
          <w:bCs/>
          <w:color w:val="000000"/>
          <w:sz w:val="20"/>
          <w:szCs w:val="20"/>
        </w:rPr>
      </w:pPr>
    </w:p>
    <w:p w:rsidR="00172136" w:rsidRDefault="00172136" w:rsidP="00213882">
      <w:pPr>
        <w:pStyle w:val="NormalWeb"/>
        <w:rPr>
          <w:rFonts w:ascii="Arial" w:eastAsiaTheme="minorHAnsi" w:hAnsi="Arial" w:cs="Arial"/>
          <w:b/>
          <w:bCs/>
          <w:color w:val="000000"/>
          <w:sz w:val="20"/>
          <w:szCs w:val="20"/>
          <w:lang w:eastAsia="en-US"/>
        </w:rPr>
      </w:pPr>
    </w:p>
    <w:p w:rsidR="00213882" w:rsidRDefault="00213882" w:rsidP="00213882">
      <w:pPr>
        <w:pStyle w:val="NormalWeb"/>
        <w:rPr>
          <w:rFonts w:ascii="Arial" w:hAnsi="Arial" w:cs="Arial"/>
          <w:color w:val="000000"/>
          <w:sz w:val="20"/>
          <w:szCs w:val="20"/>
        </w:rPr>
      </w:pPr>
      <w:r>
        <w:rPr>
          <w:rFonts w:ascii="Arial" w:hAnsi="Arial" w:cs="Arial"/>
          <w:b/>
          <w:bCs/>
          <w:color w:val="000000"/>
          <w:sz w:val="20"/>
          <w:szCs w:val="20"/>
        </w:rPr>
        <w:lastRenderedPageBreak/>
        <w:t>Master Circular on Credit Facilities to Minority Communities</w:t>
      </w:r>
    </w:p>
    <w:p w:rsidR="00213882" w:rsidRDefault="00213882" w:rsidP="00213882">
      <w:pPr>
        <w:pStyle w:val="NormalWeb"/>
        <w:rPr>
          <w:rFonts w:ascii="Arial" w:hAnsi="Arial" w:cs="Arial"/>
          <w:color w:val="000000"/>
          <w:sz w:val="20"/>
          <w:szCs w:val="20"/>
        </w:rPr>
      </w:pPr>
      <w:r>
        <w:rPr>
          <w:rFonts w:ascii="Arial" w:hAnsi="Arial" w:cs="Arial"/>
          <w:color w:val="000000"/>
          <w:sz w:val="20"/>
          <w:szCs w:val="20"/>
        </w:rPr>
        <w:t>RBI/2022-23/99</w:t>
      </w:r>
      <w:r>
        <w:rPr>
          <w:rFonts w:ascii="Arial" w:hAnsi="Arial" w:cs="Arial"/>
          <w:color w:val="000000"/>
          <w:sz w:val="20"/>
          <w:szCs w:val="20"/>
        </w:rPr>
        <w:br/>
        <w:t>FIDD.GSSD.BC.No.11/09.10.001/2022-23</w:t>
      </w:r>
    </w:p>
    <w:p w:rsidR="00213882" w:rsidRDefault="00213882" w:rsidP="00213882">
      <w:pPr>
        <w:pStyle w:val="NormalWeb"/>
        <w:jc w:val="right"/>
        <w:rPr>
          <w:rFonts w:ascii="Arial" w:hAnsi="Arial" w:cs="Arial"/>
          <w:color w:val="000000"/>
          <w:sz w:val="20"/>
          <w:szCs w:val="20"/>
        </w:rPr>
      </w:pPr>
      <w:r>
        <w:rPr>
          <w:rFonts w:ascii="Arial" w:hAnsi="Arial" w:cs="Arial"/>
          <w:color w:val="000000"/>
          <w:sz w:val="20"/>
          <w:szCs w:val="20"/>
        </w:rPr>
        <w:t>August 2, 2022</w:t>
      </w:r>
    </w:p>
    <w:p w:rsidR="00213882" w:rsidRDefault="00213882" w:rsidP="00213882">
      <w:pPr>
        <w:pStyle w:val="NormalWeb"/>
        <w:rPr>
          <w:rFonts w:ascii="Arial" w:hAnsi="Arial" w:cs="Arial"/>
          <w:color w:val="000000"/>
          <w:sz w:val="20"/>
          <w:szCs w:val="20"/>
        </w:rPr>
      </w:pPr>
      <w:r>
        <w:rPr>
          <w:rFonts w:ascii="Arial" w:hAnsi="Arial" w:cs="Arial"/>
          <w:color w:val="000000"/>
          <w:sz w:val="20"/>
          <w:szCs w:val="20"/>
        </w:rPr>
        <w:t>The Chairman/Managing Director/Chief Executive Officer</w:t>
      </w:r>
      <w:r>
        <w:rPr>
          <w:rFonts w:ascii="Arial" w:hAnsi="Arial" w:cs="Arial"/>
          <w:color w:val="000000"/>
          <w:sz w:val="20"/>
          <w:szCs w:val="20"/>
        </w:rPr>
        <w:br/>
        <w:t>All Scheduled Commercial Banks</w:t>
      </w:r>
      <w:r>
        <w:rPr>
          <w:rFonts w:ascii="Arial" w:hAnsi="Arial" w:cs="Arial"/>
          <w:color w:val="000000"/>
          <w:sz w:val="20"/>
          <w:szCs w:val="20"/>
        </w:rPr>
        <w:br/>
        <w:t>(excluding RRBs and Foreign Banks with less than 20 branches)</w:t>
      </w:r>
    </w:p>
    <w:p w:rsidR="00213882" w:rsidRDefault="00213882" w:rsidP="00213882">
      <w:pPr>
        <w:pStyle w:val="NormalWeb"/>
        <w:rPr>
          <w:rFonts w:ascii="Arial" w:hAnsi="Arial" w:cs="Arial"/>
          <w:color w:val="000000"/>
          <w:sz w:val="20"/>
          <w:szCs w:val="20"/>
        </w:rPr>
      </w:pPr>
      <w:r>
        <w:rPr>
          <w:rFonts w:ascii="Arial" w:hAnsi="Arial" w:cs="Arial"/>
          <w:color w:val="000000"/>
          <w:sz w:val="20"/>
          <w:szCs w:val="20"/>
        </w:rPr>
        <w:t>Madam/ Dear Sir,</w:t>
      </w:r>
    </w:p>
    <w:p w:rsidR="00213882" w:rsidRDefault="00213882" w:rsidP="00213882">
      <w:pPr>
        <w:pStyle w:val="head"/>
        <w:rPr>
          <w:rFonts w:ascii="Arial" w:hAnsi="Arial" w:cs="Arial"/>
          <w:b/>
          <w:bCs/>
          <w:color w:val="000000"/>
          <w:sz w:val="20"/>
          <w:szCs w:val="20"/>
        </w:rPr>
      </w:pPr>
      <w:r>
        <w:rPr>
          <w:rFonts w:ascii="Arial" w:hAnsi="Arial" w:cs="Arial"/>
          <w:b/>
          <w:bCs/>
          <w:color w:val="000000"/>
          <w:sz w:val="20"/>
          <w:szCs w:val="20"/>
        </w:rPr>
        <w:t>Master Circular on Credit Facilities to Minority Communities</w:t>
      </w:r>
    </w:p>
    <w:p w:rsidR="00213882" w:rsidRDefault="00213882" w:rsidP="00213882">
      <w:pPr>
        <w:pStyle w:val="NormalWeb"/>
        <w:rPr>
          <w:rFonts w:ascii="Arial" w:hAnsi="Arial" w:cs="Arial"/>
          <w:color w:val="000000"/>
          <w:sz w:val="20"/>
          <w:szCs w:val="20"/>
        </w:rPr>
      </w:pPr>
      <w:r>
        <w:rPr>
          <w:rFonts w:ascii="Arial" w:hAnsi="Arial" w:cs="Arial"/>
          <w:color w:val="000000"/>
          <w:sz w:val="20"/>
          <w:szCs w:val="20"/>
        </w:rPr>
        <w:t>The Reserve Bank of India has periodically issued guidelines/instructions/directives to banks with regard to providing credit facilities to Minority Communities. The </w:t>
      </w:r>
      <w:hyperlink r:id="rId6" w:anchor="MC" w:history="1">
        <w:r>
          <w:rPr>
            <w:rStyle w:val="Hyperlink"/>
            <w:rFonts w:ascii="Arial" w:hAnsi="Arial" w:cs="Arial"/>
            <w:sz w:val="20"/>
            <w:szCs w:val="20"/>
          </w:rPr>
          <w:t>Master Circular</w:t>
        </w:r>
      </w:hyperlink>
      <w:r>
        <w:rPr>
          <w:rFonts w:ascii="Arial" w:hAnsi="Arial" w:cs="Arial"/>
          <w:color w:val="000000"/>
          <w:sz w:val="20"/>
          <w:szCs w:val="20"/>
        </w:rPr>
        <w:t> enclosed consolidates the circulars issued by Reserve Bank on the subject till date, as listed in the </w:t>
      </w:r>
      <w:hyperlink r:id="rId7" w:anchor="APP" w:history="1">
        <w:r>
          <w:rPr>
            <w:rStyle w:val="Hyperlink"/>
            <w:rFonts w:ascii="Arial" w:hAnsi="Arial" w:cs="Arial"/>
            <w:sz w:val="20"/>
            <w:szCs w:val="20"/>
          </w:rPr>
          <w:t>Appendix</w:t>
        </w:r>
      </w:hyperlink>
      <w:r>
        <w:rPr>
          <w:rFonts w:ascii="Arial" w:hAnsi="Arial" w:cs="Arial"/>
          <w:color w:val="000000"/>
          <w:sz w:val="20"/>
          <w:szCs w:val="20"/>
        </w:rPr>
        <w:t>.</w:t>
      </w:r>
    </w:p>
    <w:p w:rsidR="00213882" w:rsidRDefault="00213882" w:rsidP="00213882">
      <w:pPr>
        <w:pStyle w:val="NormalWeb"/>
        <w:rPr>
          <w:rFonts w:ascii="Arial" w:hAnsi="Arial" w:cs="Arial"/>
          <w:color w:val="000000"/>
          <w:sz w:val="20"/>
          <w:szCs w:val="20"/>
        </w:rPr>
      </w:pPr>
      <w:r>
        <w:rPr>
          <w:rFonts w:ascii="Arial" w:hAnsi="Arial" w:cs="Arial"/>
          <w:color w:val="000000"/>
          <w:sz w:val="20"/>
          <w:szCs w:val="20"/>
        </w:rPr>
        <w:t>Yours faithfully,</w:t>
      </w:r>
    </w:p>
    <w:p w:rsidR="00213882" w:rsidRDefault="00213882" w:rsidP="00213882">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Nisha</w:t>
      </w:r>
      <w:proofErr w:type="spellEnd"/>
      <w:r>
        <w:rPr>
          <w:rFonts w:ascii="Arial" w:hAnsi="Arial" w:cs="Arial"/>
          <w:color w:val="000000"/>
          <w:sz w:val="20"/>
          <w:szCs w:val="20"/>
        </w:rPr>
        <w:t xml:space="preserve"> </w:t>
      </w:r>
      <w:proofErr w:type="spellStart"/>
      <w:r>
        <w:rPr>
          <w:rFonts w:ascii="Arial" w:hAnsi="Arial" w:cs="Arial"/>
          <w:color w:val="000000"/>
          <w:sz w:val="20"/>
          <w:szCs w:val="20"/>
        </w:rPr>
        <w:t>Nambiar</w:t>
      </w:r>
      <w:proofErr w:type="spellEnd"/>
      <w:r>
        <w:rPr>
          <w:rFonts w:ascii="Arial" w:hAnsi="Arial" w:cs="Arial"/>
          <w:color w:val="000000"/>
          <w:sz w:val="20"/>
          <w:szCs w:val="20"/>
        </w:rPr>
        <w:t>)</w:t>
      </w:r>
      <w:r>
        <w:rPr>
          <w:rFonts w:ascii="Arial" w:hAnsi="Arial" w:cs="Arial"/>
          <w:color w:val="000000"/>
          <w:sz w:val="20"/>
          <w:szCs w:val="20"/>
        </w:rPr>
        <w:br/>
        <w:t>Chief General Manager</w:t>
      </w: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r>
        <w:t>More details can be referred to in the below link.</w:t>
      </w:r>
    </w:p>
    <w:p w:rsidR="00213882" w:rsidRDefault="00213882" w:rsidP="00213882">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8" w:history="1">
        <w:r w:rsidRPr="006865D6">
          <w:rPr>
            <w:rStyle w:val="Hyperlink"/>
            <w:rFonts w:ascii="Arial" w:hAnsi="Arial" w:cs="Arial"/>
            <w:bCs/>
            <w:sz w:val="20"/>
            <w:szCs w:val="20"/>
          </w:rPr>
          <w:t>https://m.rbi.org.in/scripts/BS_ViewMasCirculardetails.aspx?id=12367</w:t>
        </w:r>
      </w:hyperlink>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172136" w:rsidRDefault="00172136" w:rsidP="00642494">
      <w:pPr>
        <w:spacing w:line="259" w:lineRule="auto"/>
        <w:rPr>
          <w:rFonts w:ascii="Arial" w:hAnsi="Arial" w:cs="Arial"/>
          <w:b/>
          <w:bCs/>
          <w:color w:val="000000"/>
          <w:sz w:val="20"/>
          <w:szCs w:val="20"/>
        </w:rPr>
      </w:pPr>
    </w:p>
    <w:p w:rsidR="00642494" w:rsidRDefault="00642494" w:rsidP="00642494">
      <w:pPr>
        <w:spacing w:line="259" w:lineRule="auto"/>
        <w:rPr>
          <w:rFonts w:ascii="Arial" w:hAnsi="Arial" w:cs="Arial"/>
          <w:b/>
          <w:bCs/>
          <w:color w:val="000000"/>
          <w:sz w:val="20"/>
          <w:szCs w:val="20"/>
        </w:rPr>
      </w:pPr>
      <w:r>
        <w:rPr>
          <w:rFonts w:ascii="Arial" w:hAnsi="Arial" w:cs="Arial"/>
          <w:b/>
          <w:bCs/>
          <w:color w:val="000000"/>
          <w:sz w:val="20"/>
          <w:szCs w:val="20"/>
        </w:rPr>
        <w:lastRenderedPageBreak/>
        <w:t>Review of Prudential Norms – Risk Weights for Exposures to Corporates and NBFCs</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RBI/2022-23/125</w:t>
      </w:r>
      <w:r>
        <w:rPr>
          <w:rFonts w:ascii="Arial" w:hAnsi="Arial" w:cs="Arial"/>
          <w:color w:val="000000"/>
          <w:sz w:val="20"/>
          <w:szCs w:val="20"/>
        </w:rPr>
        <w:br/>
        <w:t>DOR.STR.REC.71/21.06.201/2022-23</w:t>
      </w:r>
    </w:p>
    <w:p w:rsidR="00642494" w:rsidRDefault="00642494" w:rsidP="00642494">
      <w:pPr>
        <w:pStyle w:val="NormalWeb"/>
        <w:jc w:val="right"/>
        <w:rPr>
          <w:rFonts w:ascii="Arial" w:hAnsi="Arial" w:cs="Arial"/>
          <w:color w:val="000000"/>
          <w:sz w:val="20"/>
          <w:szCs w:val="20"/>
        </w:rPr>
      </w:pPr>
      <w:r>
        <w:rPr>
          <w:rFonts w:ascii="Arial" w:hAnsi="Arial" w:cs="Arial"/>
          <w:color w:val="000000"/>
          <w:sz w:val="20"/>
          <w:szCs w:val="20"/>
        </w:rPr>
        <w:t>October 10, 2022</w:t>
      </w:r>
    </w:p>
    <w:p w:rsidR="00642494" w:rsidRDefault="00642494" w:rsidP="00642494">
      <w:pPr>
        <w:pStyle w:val="NormalWeb"/>
        <w:rPr>
          <w:rFonts w:ascii="Arial" w:hAnsi="Arial" w:cs="Arial"/>
          <w:color w:val="000000"/>
          <w:sz w:val="20"/>
          <w:szCs w:val="20"/>
        </w:rPr>
      </w:pPr>
      <w:r>
        <w:rPr>
          <w:rFonts w:ascii="Arial" w:hAnsi="Arial" w:cs="Arial"/>
          <w:color w:val="000000"/>
          <w:sz w:val="20"/>
          <w:szCs w:val="20"/>
        </w:rPr>
        <w:t>All Scheduled Commercial Banks</w:t>
      </w:r>
      <w:r>
        <w:rPr>
          <w:rFonts w:ascii="Arial" w:hAnsi="Arial" w:cs="Arial"/>
          <w:color w:val="000000"/>
          <w:sz w:val="20"/>
          <w:szCs w:val="20"/>
        </w:rPr>
        <w:br/>
        <w:t>(including Small Finance Banks)</w:t>
      </w:r>
      <w:r>
        <w:rPr>
          <w:rFonts w:ascii="Arial" w:hAnsi="Arial" w:cs="Arial"/>
          <w:color w:val="000000"/>
          <w:sz w:val="20"/>
          <w:szCs w:val="20"/>
        </w:rPr>
        <w:br/>
        <w:t>(Excluding Local Area Banks, Regional Rural Banks and Payments Banks)</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Madam/Dear Sir,</w:t>
      </w:r>
    </w:p>
    <w:p w:rsidR="00642494" w:rsidRDefault="00642494" w:rsidP="00642494">
      <w:pPr>
        <w:pStyle w:val="head"/>
        <w:jc w:val="both"/>
        <w:rPr>
          <w:rFonts w:ascii="Arial" w:hAnsi="Arial" w:cs="Arial"/>
          <w:b/>
          <w:bCs/>
          <w:color w:val="000000"/>
          <w:sz w:val="20"/>
          <w:szCs w:val="20"/>
        </w:rPr>
      </w:pPr>
      <w:r>
        <w:rPr>
          <w:rFonts w:ascii="Arial" w:hAnsi="Arial" w:cs="Arial"/>
          <w:b/>
          <w:bCs/>
          <w:color w:val="000000"/>
          <w:sz w:val="20"/>
          <w:szCs w:val="20"/>
        </w:rPr>
        <w:t>Review of Prudential Norms – Risk Weights for Exposures to Corporates and NBFCs</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Please refer to paragraph 6.8.1 (</w:t>
      </w:r>
      <w:proofErr w:type="spellStart"/>
      <w:r>
        <w:rPr>
          <w:rFonts w:ascii="Arial" w:hAnsi="Arial" w:cs="Arial"/>
          <w:color w:val="000000"/>
          <w:sz w:val="20"/>
          <w:szCs w:val="20"/>
        </w:rPr>
        <w:t>i</w:t>
      </w:r>
      <w:proofErr w:type="spellEnd"/>
      <w:r>
        <w:rPr>
          <w:rFonts w:ascii="Arial" w:hAnsi="Arial" w:cs="Arial"/>
          <w:color w:val="000000"/>
          <w:sz w:val="20"/>
          <w:szCs w:val="20"/>
        </w:rPr>
        <w:t>) of </w:t>
      </w:r>
      <w:hyperlink r:id="rId9" w:tgtFrame="_blank" w:history="1">
        <w:r>
          <w:rPr>
            <w:rStyle w:val="Hyperlink"/>
            <w:rFonts w:ascii="Arial" w:hAnsi="Arial" w:cs="Arial"/>
            <w:sz w:val="20"/>
            <w:szCs w:val="20"/>
          </w:rPr>
          <w:t>Master Circular on Basel III capital regulations dated April 1, 2022</w:t>
        </w:r>
      </w:hyperlink>
      <w:r>
        <w:rPr>
          <w:rFonts w:ascii="Arial" w:hAnsi="Arial" w:cs="Arial"/>
          <w:color w:val="000000"/>
          <w:sz w:val="20"/>
          <w:szCs w:val="20"/>
        </w:rPr>
        <w:t xml:space="preserve"> in terms of which banks are permitted to derive risk weights for their unrated exposures based on the ratings available for a specific rated debt subject to the conditions specified that the bank’s facility ranks </w:t>
      </w:r>
      <w:proofErr w:type="spellStart"/>
      <w:r>
        <w:rPr>
          <w:rFonts w:ascii="Arial" w:hAnsi="Arial" w:cs="Arial"/>
          <w:color w:val="000000"/>
          <w:sz w:val="20"/>
          <w:szCs w:val="20"/>
        </w:rPr>
        <w:t>pari</w:t>
      </w:r>
      <w:proofErr w:type="spellEnd"/>
      <w:r>
        <w:rPr>
          <w:rFonts w:ascii="Arial" w:hAnsi="Arial" w:cs="Arial"/>
          <w:color w:val="000000"/>
          <w:sz w:val="20"/>
          <w:szCs w:val="20"/>
        </w:rPr>
        <w:t xml:space="preserve"> </w:t>
      </w:r>
      <w:proofErr w:type="spellStart"/>
      <w:r>
        <w:rPr>
          <w:rFonts w:ascii="Arial" w:hAnsi="Arial" w:cs="Arial"/>
          <w:color w:val="000000"/>
          <w:sz w:val="20"/>
          <w:szCs w:val="20"/>
        </w:rPr>
        <w:t>passu</w:t>
      </w:r>
      <w:proofErr w:type="spellEnd"/>
      <w:r>
        <w:rPr>
          <w:rFonts w:ascii="Arial" w:hAnsi="Arial" w:cs="Arial"/>
          <w:color w:val="000000"/>
          <w:sz w:val="20"/>
          <w:szCs w:val="20"/>
        </w:rPr>
        <w:t xml:space="preserve"> or senior to the specific rated debt in all respects and the maturity of the unassessed claim is not later than the maturity of the rated claim. Banks may also refer to paragraph 6.2.5 of the Master Circular ibid regarding publication of bank loan ratings by External Credit Assessment Institutions (ECAIs).</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 xml:space="preserve">2. It is observed that the Press Releases (PRs) issued by ECAIs on rating actions are often devoid of the lenders’ details. Absence of such information may result in banks applying the derived risk weights for unrated exposures, without satisfying themselves regarding adherence to prescribed conditions. This may, consequentially, lead to potentially lower provision of capital as well as </w:t>
      </w:r>
      <w:proofErr w:type="spellStart"/>
      <w:r>
        <w:rPr>
          <w:rFonts w:ascii="Arial" w:hAnsi="Arial" w:cs="Arial"/>
          <w:color w:val="000000"/>
          <w:sz w:val="20"/>
          <w:szCs w:val="20"/>
        </w:rPr>
        <w:t>underpricing</w:t>
      </w:r>
      <w:proofErr w:type="spellEnd"/>
      <w:r>
        <w:rPr>
          <w:rFonts w:ascii="Arial" w:hAnsi="Arial" w:cs="Arial"/>
          <w:color w:val="000000"/>
          <w:sz w:val="20"/>
          <w:szCs w:val="20"/>
        </w:rPr>
        <w:t xml:space="preserve"> of risks. In order to address the above information asymmetry, the Reserve Bank had advised the ECAIs vide letter dated June 4, 2021 to disclose the name of the banks and the corresponding credit facilities rated by them in the PRs issued on rating actions by August 31, 2021, after obtaining requisite consent from the borrowers.</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3. However, on a review it has been observed that the above disclosures are not available in a large number of PRs issued by ECAIs owing to the absence of requisite consent by the borrowers to the ECAIs. It is, therefore, advised that a bank loan rating without the above disclosure by the ECAI shall not be eligible for being reckoned for capital computation by banks. Banks shall treat such exposures as unrated and assign applicable risk weights in terms of paragraph 5.8.1 of the Master Circular ibid read with amendments carried out from time to time.</w:t>
      </w:r>
    </w:p>
    <w:p w:rsidR="00642494" w:rsidRDefault="00642494" w:rsidP="00642494">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642494" w:rsidRDefault="00642494" w:rsidP="00642494">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642494" w:rsidRDefault="00642494" w:rsidP="00642494">
      <w:pPr>
        <w:spacing w:line="259" w:lineRule="auto"/>
        <w:rPr>
          <w:rFonts w:ascii="Arial" w:hAnsi="Arial" w:cs="Arial"/>
          <w:sz w:val="20"/>
          <w:szCs w:val="20"/>
        </w:rPr>
      </w:pPr>
    </w:p>
    <w:p w:rsidR="00642494" w:rsidRDefault="00642494" w:rsidP="00642494">
      <w:pPr>
        <w:spacing w:line="259" w:lineRule="auto"/>
        <w:rPr>
          <w:rFonts w:ascii="Arial" w:hAnsi="Arial" w:cs="Arial"/>
          <w:sz w:val="20"/>
          <w:szCs w:val="20"/>
        </w:rPr>
      </w:pPr>
    </w:p>
    <w:p w:rsidR="00642494" w:rsidRDefault="00642494" w:rsidP="00642494">
      <w:r>
        <w:t>More details can be referred to in the below link.</w:t>
      </w:r>
    </w:p>
    <w:p w:rsidR="00642494" w:rsidRDefault="00642494" w:rsidP="00642494">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10" w:history="1">
        <w:r w:rsidRPr="00B27270">
          <w:rPr>
            <w:rStyle w:val="Hyperlink"/>
            <w:rFonts w:ascii="Arial" w:hAnsi="Arial" w:cs="Arial"/>
            <w:bCs/>
            <w:sz w:val="20"/>
            <w:szCs w:val="20"/>
          </w:rPr>
          <w:t>https://www.rbi.org.in/Scripts/NotificationUser.aspx?Id=12396&amp;Mode=0</w:t>
        </w:r>
      </w:hyperlink>
    </w:p>
    <w:p w:rsidR="00642494" w:rsidRDefault="00642494" w:rsidP="00230EAC">
      <w:pPr>
        <w:spacing w:line="259" w:lineRule="auto"/>
        <w:rPr>
          <w:rFonts w:ascii="Arial" w:hAnsi="Arial" w:cs="Arial"/>
          <w:b/>
          <w:bCs/>
          <w:color w:val="000000"/>
          <w:sz w:val="20"/>
          <w:szCs w:val="20"/>
        </w:rPr>
      </w:pPr>
    </w:p>
    <w:p w:rsidR="00642494" w:rsidRDefault="00642494" w:rsidP="00230EAC">
      <w:pPr>
        <w:spacing w:line="259" w:lineRule="auto"/>
        <w:rPr>
          <w:rFonts w:ascii="Arial" w:hAnsi="Arial" w:cs="Arial"/>
          <w:b/>
          <w:bCs/>
          <w:color w:val="000000"/>
          <w:sz w:val="20"/>
          <w:szCs w:val="20"/>
        </w:rPr>
      </w:pPr>
    </w:p>
    <w:p w:rsidR="00642494" w:rsidRDefault="00642494" w:rsidP="00230EAC">
      <w:pPr>
        <w:spacing w:line="259" w:lineRule="auto"/>
        <w:rPr>
          <w:rFonts w:ascii="Arial" w:hAnsi="Arial" w:cs="Arial"/>
          <w:b/>
          <w:bCs/>
          <w:color w:val="000000"/>
          <w:sz w:val="20"/>
          <w:szCs w:val="20"/>
        </w:rPr>
      </w:pPr>
    </w:p>
    <w:p w:rsidR="00642494" w:rsidRDefault="00642494" w:rsidP="00230EAC">
      <w:pPr>
        <w:spacing w:line="259" w:lineRule="auto"/>
        <w:rPr>
          <w:rFonts w:ascii="Arial" w:hAnsi="Arial" w:cs="Arial"/>
          <w:b/>
          <w:bCs/>
          <w:color w:val="000000"/>
          <w:sz w:val="20"/>
          <w:szCs w:val="20"/>
        </w:rPr>
      </w:pPr>
    </w:p>
    <w:p w:rsidR="00172136" w:rsidRDefault="00172136" w:rsidP="00172136">
      <w:pPr>
        <w:spacing w:after="0"/>
        <w:rPr>
          <w:rFonts w:ascii="Arial" w:hAnsi="Arial" w:cs="Arial"/>
          <w:b/>
          <w:bCs/>
          <w:color w:val="000000"/>
          <w:sz w:val="20"/>
          <w:szCs w:val="20"/>
        </w:rPr>
      </w:pPr>
      <w:r>
        <w:rPr>
          <w:rFonts w:ascii="Arial" w:hAnsi="Arial" w:cs="Arial"/>
          <w:b/>
          <w:bCs/>
          <w:color w:val="000000"/>
          <w:sz w:val="20"/>
          <w:szCs w:val="20"/>
        </w:rPr>
        <w:lastRenderedPageBreak/>
        <w:t>Multiple NBFCs in a Group: Classification in Middle Layer</w:t>
      </w:r>
    </w:p>
    <w:p w:rsidR="00172136" w:rsidRDefault="00172136" w:rsidP="00172136">
      <w:pPr>
        <w:pStyle w:val="NormalWeb"/>
        <w:jc w:val="both"/>
        <w:rPr>
          <w:rFonts w:ascii="Arial" w:hAnsi="Arial" w:cs="Arial"/>
          <w:color w:val="000000"/>
          <w:sz w:val="20"/>
          <w:szCs w:val="20"/>
        </w:rPr>
      </w:pPr>
      <w:r>
        <w:rPr>
          <w:rFonts w:ascii="Arial" w:hAnsi="Arial" w:cs="Arial"/>
          <w:color w:val="000000"/>
          <w:sz w:val="20"/>
          <w:szCs w:val="20"/>
        </w:rPr>
        <w:t>RBI/2022-23/129</w:t>
      </w:r>
      <w:r>
        <w:rPr>
          <w:rFonts w:ascii="Arial" w:hAnsi="Arial" w:cs="Arial"/>
          <w:color w:val="000000"/>
          <w:sz w:val="20"/>
          <w:szCs w:val="20"/>
        </w:rPr>
        <w:br/>
        <w:t>DOR.CRE.REC.No.78/03.10.001/2022-23</w:t>
      </w:r>
    </w:p>
    <w:p w:rsidR="00172136" w:rsidRDefault="00172136" w:rsidP="00172136">
      <w:pPr>
        <w:pStyle w:val="NormalWeb"/>
        <w:jc w:val="right"/>
        <w:rPr>
          <w:rFonts w:ascii="Arial" w:hAnsi="Arial" w:cs="Arial"/>
          <w:color w:val="000000"/>
          <w:sz w:val="20"/>
          <w:szCs w:val="20"/>
        </w:rPr>
      </w:pPr>
      <w:r>
        <w:rPr>
          <w:rFonts w:ascii="Arial" w:hAnsi="Arial" w:cs="Arial"/>
          <w:color w:val="000000"/>
          <w:sz w:val="20"/>
          <w:szCs w:val="20"/>
        </w:rPr>
        <w:t>October 11, 2022</w:t>
      </w:r>
    </w:p>
    <w:p w:rsidR="00172136" w:rsidRDefault="00172136" w:rsidP="00172136">
      <w:pPr>
        <w:pStyle w:val="NormalWeb"/>
        <w:jc w:val="both"/>
        <w:rPr>
          <w:rFonts w:ascii="Arial" w:hAnsi="Arial" w:cs="Arial"/>
          <w:color w:val="000000"/>
          <w:sz w:val="20"/>
          <w:szCs w:val="20"/>
        </w:rPr>
      </w:pPr>
      <w:r>
        <w:rPr>
          <w:rFonts w:ascii="Arial" w:hAnsi="Arial" w:cs="Arial"/>
          <w:color w:val="000000"/>
          <w:sz w:val="20"/>
          <w:szCs w:val="20"/>
        </w:rPr>
        <w:t>All Non-Banking Financial Companies</w:t>
      </w:r>
    </w:p>
    <w:p w:rsidR="00172136" w:rsidRDefault="00172136" w:rsidP="00172136">
      <w:pPr>
        <w:pStyle w:val="NormalWeb"/>
        <w:jc w:val="both"/>
        <w:rPr>
          <w:rFonts w:ascii="Arial" w:hAnsi="Arial" w:cs="Arial"/>
          <w:color w:val="000000"/>
          <w:sz w:val="20"/>
          <w:szCs w:val="20"/>
        </w:rPr>
      </w:pPr>
      <w:r>
        <w:rPr>
          <w:rFonts w:ascii="Arial" w:hAnsi="Arial" w:cs="Arial"/>
          <w:color w:val="000000"/>
          <w:sz w:val="20"/>
          <w:szCs w:val="20"/>
        </w:rPr>
        <w:t>Madam / Dear Sir,</w:t>
      </w:r>
    </w:p>
    <w:p w:rsidR="00172136" w:rsidRDefault="00172136" w:rsidP="00172136">
      <w:pPr>
        <w:pStyle w:val="head"/>
        <w:jc w:val="both"/>
        <w:rPr>
          <w:rFonts w:ascii="Arial" w:hAnsi="Arial" w:cs="Arial"/>
          <w:b/>
          <w:bCs/>
          <w:color w:val="000000"/>
          <w:sz w:val="20"/>
          <w:szCs w:val="20"/>
        </w:rPr>
      </w:pPr>
      <w:r>
        <w:rPr>
          <w:rFonts w:ascii="Arial" w:hAnsi="Arial" w:cs="Arial"/>
          <w:b/>
          <w:bCs/>
          <w:color w:val="000000"/>
          <w:sz w:val="20"/>
          <w:szCs w:val="20"/>
          <w:u w:val="single"/>
        </w:rPr>
        <w:t>Multiple NBFCs in a Group: Classification in Middle Layer</w:t>
      </w:r>
    </w:p>
    <w:p w:rsidR="00172136" w:rsidRDefault="00172136" w:rsidP="00172136">
      <w:pPr>
        <w:pStyle w:val="NormalWeb"/>
        <w:jc w:val="both"/>
        <w:rPr>
          <w:rFonts w:ascii="Arial" w:hAnsi="Arial" w:cs="Arial"/>
          <w:color w:val="000000"/>
          <w:sz w:val="20"/>
          <w:szCs w:val="20"/>
        </w:rPr>
      </w:pPr>
      <w:r>
        <w:rPr>
          <w:rFonts w:ascii="Arial" w:hAnsi="Arial" w:cs="Arial"/>
          <w:color w:val="000000"/>
          <w:sz w:val="20"/>
          <w:szCs w:val="20"/>
        </w:rPr>
        <w:t>Please refer to para 1 of the Annex to the </w:t>
      </w:r>
      <w:hyperlink r:id="rId11" w:tgtFrame="_blank" w:history="1">
        <w:r>
          <w:rPr>
            <w:rStyle w:val="Hyperlink"/>
            <w:rFonts w:ascii="Arial" w:hAnsi="Arial" w:cs="Arial"/>
            <w:sz w:val="20"/>
            <w:szCs w:val="20"/>
          </w:rPr>
          <w:t>Circular on “Scale Based Regulation (SBR): A Revised Regulatory Framework for NBFCs” issued on October 22, 2021</w:t>
        </w:r>
      </w:hyperlink>
      <w:r>
        <w:rPr>
          <w:rFonts w:ascii="Arial" w:hAnsi="Arial" w:cs="Arial"/>
          <w:color w:val="000000"/>
          <w:sz w:val="20"/>
          <w:szCs w:val="20"/>
        </w:rPr>
        <w:t> delineating the four layered regulatory structure for NBFCs under Scale Based Regulatory Framework.</w:t>
      </w:r>
    </w:p>
    <w:p w:rsidR="00172136" w:rsidRDefault="00172136" w:rsidP="00172136">
      <w:pPr>
        <w:pStyle w:val="NormalWeb"/>
        <w:jc w:val="both"/>
        <w:rPr>
          <w:rFonts w:ascii="Arial" w:hAnsi="Arial" w:cs="Arial"/>
          <w:color w:val="000000"/>
          <w:sz w:val="20"/>
          <w:szCs w:val="20"/>
        </w:rPr>
      </w:pPr>
      <w:r>
        <w:rPr>
          <w:rStyle w:val="head1"/>
          <w:rFonts w:ascii="Arial" w:hAnsi="Arial" w:cs="Arial"/>
          <w:b/>
          <w:bCs/>
          <w:color w:val="000000"/>
          <w:sz w:val="20"/>
          <w:szCs w:val="20"/>
        </w:rPr>
        <w:t>2.</w:t>
      </w:r>
      <w:r>
        <w:rPr>
          <w:rFonts w:ascii="Arial" w:hAnsi="Arial" w:cs="Arial"/>
          <w:color w:val="000000"/>
          <w:sz w:val="20"/>
          <w:szCs w:val="20"/>
        </w:rPr>
        <w:t> As per para 16 of the </w:t>
      </w:r>
      <w:hyperlink r:id="rId12" w:tgtFrame="_blank" w:history="1">
        <w:r>
          <w:rPr>
            <w:rStyle w:val="Hyperlink"/>
            <w:rFonts w:ascii="Arial" w:hAnsi="Arial" w:cs="Arial"/>
            <w:sz w:val="20"/>
            <w:szCs w:val="20"/>
          </w:rPr>
          <w:t>Master Direction – Non-Banking Financial Company-Systemically Important Non-Deposit taking Company and Deposit taking Company (Reserve Bank) Directions 2016</w:t>
        </w:r>
      </w:hyperlink>
      <w:r>
        <w:rPr>
          <w:rFonts w:ascii="Arial" w:hAnsi="Arial" w:cs="Arial"/>
          <w:color w:val="000000"/>
          <w:sz w:val="20"/>
          <w:szCs w:val="20"/>
        </w:rPr>
        <w:t>, applicable NBFCs that are part of a common Group or are floated by a common set of promoters shall not be viewed on a standalone basis. In line with the existing policy on consolidation of assets of the NBFCs in a Group, the total assets of </w:t>
      </w:r>
      <w:r>
        <w:rPr>
          <w:rStyle w:val="head1"/>
          <w:rFonts w:ascii="Arial" w:hAnsi="Arial" w:cs="Arial"/>
          <w:b/>
          <w:bCs/>
          <w:color w:val="000000"/>
          <w:sz w:val="20"/>
          <w:szCs w:val="20"/>
        </w:rPr>
        <w:t>all the NBFCs</w:t>
      </w:r>
      <w:hyperlink r:id="rId13" w:anchor="F1" w:history="1">
        <w:r>
          <w:rPr>
            <w:rStyle w:val="Hyperlink"/>
            <w:rFonts w:ascii="Arial" w:hAnsi="Arial" w:cs="Arial"/>
            <w:sz w:val="15"/>
            <w:szCs w:val="15"/>
            <w:vertAlign w:val="superscript"/>
          </w:rPr>
          <w:t>1</w:t>
        </w:r>
      </w:hyperlink>
      <w:r>
        <w:rPr>
          <w:rFonts w:ascii="Arial" w:hAnsi="Arial" w:cs="Arial"/>
          <w:color w:val="000000"/>
          <w:sz w:val="20"/>
          <w:szCs w:val="20"/>
        </w:rPr>
        <w:t> </w:t>
      </w:r>
      <w:r>
        <w:rPr>
          <w:rStyle w:val="head1"/>
          <w:rFonts w:ascii="Arial" w:hAnsi="Arial" w:cs="Arial"/>
          <w:b/>
          <w:bCs/>
          <w:color w:val="000000"/>
          <w:sz w:val="20"/>
          <w:szCs w:val="20"/>
        </w:rPr>
        <w:t>in a Group</w:t>
      </w:r>
      <w:hyperlink r:id="rId14" w:anchor="F2" w:history="1">
        <w:r>
          <w:rPr>
            <w:rStyle w:val="Hyperlink"/>
            <w:rFonts w:ascii="Arial" w:hAnsi="Arial" w:cs="Arial"/>
            <w:sz w:val="15"/>
            <w:szCs w:val="15"/>
            <w:vertAlign w:val="superscript"/>
          </w:rPr>
          <w:t>2</w:t>
        </w:r>
      </w:hyperlink>
      <w:r>
        <w:rPr>
          <w:rFonts w:ascii="Arial" w:hAnsi="Arial" w:cs="Arial"/>
          <w:color w:val="000000"/>
          <w:sz w:val="20"/>
          <w:szCs w:val="20"/>
        </w:rPr>
        <w:t> shall be consolidated to determine the threshold for their classification in the Middle Layer.</w:t>
      </w:r>
    </w:p>
    <w:p w:rsidR="00172136" w:rsidRDefault="00172136" w:rsidP="00172136">
      <w:pPr>
        <w:pStyle w:val="NormalWeb"/>
        <w:jc w:val="both"/>
        <w:rPr>
          <w:rFonts w:ascii="Arial" w:hAnsi="Arial" w:cs="Arial"/>
          <w:color w:val="000000"/>
          <w:sz w:val="20"/>
          <w:szCs w:val="20"/>
        </w:rPr>
      </w:pPr>
      <w:r>
        <w:rPr>
          <w:rStyle w:val="head1"/>
          <w:rFonts w:ascii="Arial" w:hAnsi="Arial" w:cs="Arial"/>
          <w:b/>
          <w:bCs/>
          <w:color w:val="000000"/>
          <w:sz w:val="20"/>
          <w:szCs w:val="20"/>
        </w:rPr>
        <w:t>3.</w:t>
      </w:r>
      <w:r>
        <w:rPr>
          <w:rFonts w:ascii="Arial" w:hAnsi="Arial" w:cs="Arial"/>
          <w:color w:val="000000"/>
          <w:sz w:val="20"/>
          <w:szCs w:val="20"/>
        </w:rPr>
        <w:t> If the consolidated asset (consolidation as per para 2 above) size of the Group is ₹1000 crore and above, then each Investment and Credit Company (NBFC-ICC), Micro Finance Institution (NBFC-MFI), NBFC-Factor and Mortgage Guarantee Company (NBFC-MGC) lying in the Group shall be classified as an NBFC in the Middle Layer and consequently, regulations as applicable to the Middle Layer shall be applicable to them. Illustrative examples are provided in the </w:t>
      </w:r>
      <w:hyperlink r:id="rId15" w:anchor="AN1" w:history="1">
        <w:r>
          <w:rPr>
            <w:rStyle w:val="Hyperlink"/>
            <w:rFonts w:ascii="Arial" w:hAnsi="Arial" w:cs="Arial"/>
            <w:sz w:val="20"/>
            <w:szCs w:val="20"/>
          </w:rPr>
          <w:t>Annex</w:t>
        </w:r>
      </w:hyperlink>
      <w:r>
        <w:rPr>
          <w:rFonts w:ascii="Arial" w:hAnsi="Arial" w:cs="Arial"/>
          <w:color w:val="000000"/>
          <w:sz w:val="20"/>
          <w:szCs w:val="20"/>
        </w:rPr>
        <w:t> to this circular.</w:t>
      </w:r>
    </w:p>
    <w:p w:rsidR="00172136" w:rsidRDefault="00172136" w:rsidP="00172136">
      <w:pPr>
        <w:pStyle w:val="NormalWeb"/>
        <w:jc w:val="both"/>
        <w:rPr>
          <w:rFonts w:ascii="Arial" w:hAnsi="Arial" w:cs="Arial"/>
          <w:color w:val="000000"/>
          <w:sz w:val="20"/>
          <w:szCs w:val="20"/>
        </w:rPr>
      </w:pPr>
      <w:r>
        <w:rPr>
          <w:rStyle w:val="head1"/>
          <w:rFonts w:ascii="Arial" w:hAnsi="Arial" w:cs="Arial"/>
          <w:b/>
          <w:bCs/>
          <w:color w:val="000000"/>
          <w:sz w:val="20"/>
          <w:szCs w:val="20"/>
        </w:rPr>
        <w:t>4.</w:t>
      </w:r>
      <w:r>
        <w:rPr>
          <w:rFonts w:ascii="Arial" w:hAnsi="Arial" w:cs="Arial"/>
          <w:color w:val="000000"/>
          <w:sz w:val="20"/>
          <w:szCs w:val="20"/>
        </w:rPr>
        <w:t> Statutory Auditors are required to certify the asset size (as on March 31) of all the NBFCs in the Group every year. The certificate shall be furnished to the Department of Supervision of the Reserve Bank under whose jurisdiction the NBFCs are registered.</w:t>
      </w:r>
    </w:p>
    <w:p w:rsidR="00172136" w:rsidRDefault="00172136" w:rsidP="00172136">
      <w:pPr>
        <w:pStyle w:val="NormalWeb"/>
        <w:jc w:val="both"/>
        <w:rPr>
          <w:rFonts w:ascii="Arial" w:hAnsi="Arial" w:cs="Arial"/>
          <w:color w:val="000000"/>
          <w:sz w:val="20"/>
          <w:szCs w:val="20"/>
        </w:rPr>
      </w:pPr>
      <w:r>
        <w:rPr>
          <w:rStyle w:val="head1"/>
          <w:rFonts w:ascii="Arial" w:hAnsi="Arial" w:cs="Arial"/>
          <w:b/>
          <w:bCs/>
          <w:color w:val="000000"/>
          <w:sz w:val="20"/>
          <w:szCs w:val="20"/>
        </w:rPr>
        <w:t>5.</w:t>
      </w:r>
      <w:r>
        <w:rPr>
          <w:rFonts w:ascii="Arial" w:hAnsi="Arial" w:cs="Arial"/>
          <w:color w:val="000000"/>
          <w:sz w:val="20"/>
          <w:szCs w:val="20"/>
        </w:rPr>
        <w:t> These guidelines shall be effective from October 01, 2022.</w:t>
      </w:r>
    </w:p>
    <w:p w:rsidR="00172136" w:rsidRDefault="00172136" w:rsidP="00172136">
      <w:pPr>
        <w:pStyle w:val="NormalWeb"/>
        <w:jc w:val="both"/>
        <w:rPr>
          <w:rFonts w:ascii="Arial" w:hAnsi="Arial" w:cs="Arial"/>
          <w:color w:val="000000"/>
          <w:sz w:val="20"/>
          <w:szCs w:val="20"/>
        </w:rPr>
      </w:pPr>
      <w:r>
        <w:rPr>
          <w:rStyle w:val="head1"/>
          <w:rFonts w:ascii="Arial" w:hAnsi="Arial" w:cs="Arial"/>
          <w:b/>
          <w:bCs/>
          <w:color w:val="000000"/>
          <w:sz w:val="20"/>
          <w:szCs w:val="20"/>
        </w:rPr>
        <w:t>6.</w:t>
      </w:r>
      <w:r>
        <w:rPr>
          <w:rFonts w:ascii="Arial" w:hAnsi="Arial" w:cs="Arial"/>
          <w:color w:val="000000"/>
          <w:sz w:val="20"/>
          <w:szCs w:val="20"/>
        </w:rPr>
        <w:t> Provisions contained in this circular will not be applicable for classifying an NBFC in the Upper Layer.</w:t>
      </w:r>
    </w:p>
    <w:p w:rsidR="00172136" w:rsidRDefault="00172136" w:rsidP="00172136">
      <w:pPr>
        <w:pStyle w:val="NormalWeb"/>
        <w:jc w:val="both"/>
        <w:rPr>
          <w:rFonts w:ascii="Arial" w:hAnsi="Arial" w:cs="Arial"/>
          <w:color w:val="000000"/>
          <w:sz w:val="20"/>
          <w:szCs w:val="20"/>
        </w:rPr>
      </w:pPr>
      <w:r>
        <w:rPr>
          <w:rFonts w:ascii="Arial" w:hAnsi="Arial" w:cs="Arial"/>
          <w:color w:val="000000"/>
          <w:sz w:val="20"/>
          <w:szCs w:val="20"/>
        </w:rPr>
        <w:t>Yours faithfully,</w:t>
      </w:r>
    </w:p>
    <w:p w:rsidR="00172136" w:rsidRDefault="00172136" w:rsidP="00172136">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172136" w:rsidRDefault="00172136" w:rsidP="00172136">
      <w:pPr>
        <w:spacing w:after="0"/>
        <w:rPr>
          <w:rFonts w:ascii="Arial" w:hAnsi="Arial" w:cs="Arial"/>
          <w:b/>
          <w:bCs/>
          <w:color w:val="000000"/>
          <w:sz w:val="20"/>
          <w:szCs w:val="20"/>
        </w:rPr>
      </w:pPr>
    </w:p>
    <w:p w:rsidR="00172136" w:rsidRDefault="00172136" w:rsidP="00172136">
      <w:pPr>
        <w:spacing w:after="0"/>
        <w:rPr>
          <w:rFonts w:ascii="Arial" w:hAnsi="Arial" w:cs="Arial"/>
          <w:b/>
          <w:bCs/>
          <w:color w:val="000000"/>
          <w:sz w:val="20"/>
          <w:szCs w:val="20"/>
        </w:rPr>
      </w:pPr>
    </w:p>
    <w:p w:rsidR="00172136" w:rsidRDefault="00172136" w:rsidP="00172136">
      <w:pPr>
        <w:spacing w:after="0"/>
        <w:rPr>
          <w:rFonts w:ascii="Arial" w:hAnsi="Arial" w:cs="Arial"/>
          <w:b/>
          <w:bCs/>
          <w:color w:val="000000"/>
          <w:sz w:val="20"/>
          <w:szCs w:val="20"/>
        </w:rPr>
      </w:pPr>
    </w:p>
    <w:p w:rsidR="00172136" w:rsidRDefault="00172136" w:rsidP="00172136">
      <w:pPr>
        <w:spacing w:after="0"/>
        <w:rPr>
          <w:rFonts w:ascii="Arial" w:hAnsi="Arial" w:cs="Arial"/>
          <w:b/>
          <w:bCs/>
          <w:color w:val="000000"/>
          <w:sz w:val="20"/>
          <w:szCs w:val="20"/>
        </w:rPr>
      </w:pPr>
    </w:p>
    <w:p w:rsidR="00172136" w:rsidRDefault="00172136" w:rsidP="00172136">
      <w:pPr>
        <w:spacing w:after="0"/>
        <w:rPr>
          <w:rFonts w:ascii="Arial" w:hAnsi="Arial" w:cs="Arial"/>
          <w:b/>
          <w:bCs/>
          <w:color w:val="000000"/>
          <w:sz w:val="20"/>
          <w:szCs w:val="20"/>
        </w:rPr>
      </w:pPr>
    </w:p>
    <w:p w:rsidR="00172136" w:rsidRDefault="00172136" w:rsidP="00172136">
      <w:r>
        <w:t>More details can be referred to in the below link.</w:t>
      </w:r>
    </w:p>
    <w:p w:rsidR="00172136" w:rsidRDefault="00172136" w:rsidP="00172136">
      <w:pPr>
        <w:spacing w:after="0"/>
        <w:rPr>
          <w:rFonts w:ascii="Arial" w:hAnsi="Arial" w:cs="Arial"/>
          <w:bCs/>
          <w:color w:val="000000"/>
          <w:sz w:val="20"/>
          <w:szCs w:val="20"/>
        </w:rPr>
      </w:pPr>
      <w:r>
        <w:rPr>
          <w:rFonts w:ascii="Arial" w:hAnsi="Arial" w:cs="Arial"/>
          <w:bCs/>
          <w:color w:val="000000"/>
          <w:sz w:val="20"/>
          <w:szCs w:val="20"/>
        </w:rPr>
        <w:t xml:space="preserve">Reference Link: </w:t>
      </w:r>
      <w:hyperlink r:id="rId16" w:history="1">
        <w:r w:rsidRPr="00396C70">
          <w:rPr>
            <w:rStyle w:val="Hyperlink"/>
            <w:rFonts w:ascii="Arial" w:hAnsi="Arial" w:cs="Arial"/>
            <w:bCs/>
            <w:sz w:val="20"/>
            <w:szCs w:val="20"/>
          </w:rPr>
          <w:t>https://www.rbi.org.in/Scripts/NotificationUser.aspx?Id=12400&amp;Mode=0</w:t>
        </w:r>
      </w:hyperlink>
    </w:p>
    <w:p w:rsidR="00172136" w:rsidRDefault="00172136" w:rsidP="00172136">
      <w:pPr>
        <w:spacing w:after="0"/>
        <w:rPr>
          <w:rFonts w:ascii="Arial" w:hAnsi="Arial" w:cs="Arial"/>
          <w:b/>
          <w:bCs/>
          <w:color w:val="000000"/>
          <w:sz w:val="20"/>
          <w:szCs w:val="20"/>
        </w:rPr>
      </w:pPr>
    </w:p>
    <w:p w:rsidR="00172136" w:rsidRDefault="00172136" w:rsidP="00172136">
      <w:pPr>
        <w:spacing w:after="0"/>
        <w:rPr>
          <w:rFonts w:ascii="Arial" w:hAnsi="Arial" w:cs="Arial"/>
          <w:b/>
          <w:bCs/>
          <w:color w:val="000000"/>
          <w:sz w:val="20"/>
          <w:szCs w:val="20"/>
        </w:rPr>
      </w:pPr>
    </w:p>
    <w:p w:rsidR="00172136" w:rsidRDefault="00172136" w:rsidP="00172136">
      <w:pPr>
        <w:spacing w:after="0"/>
        <w:rPr>
          <w:rFonts w:ascii="Arial" w:hAnsi="Arial" w:cs="Arial"/>
          <w:b/>
          <w:bCs/>
          <w:color w:val="000000"/>
          <w:sz w:val="20"/>
          <w:szCs w:val="20"/>
        </w:rPr>
      </w:pPr>
    </w:p>
    <w:p w:rsidR="00172136" w:rsidRDefault="00172136" w:rsidP="00172136">
      <w:pPr>
        <w:spacing w:after="0"/>
        <w:rPr>
          <w:rFonts w:ascii="Arial" w:hAnsi="Arial" w:cs="Arial"/>
          <w:b/>
          <w:bCs/>
          <w:color w:val="000000"/>
          <w:sz w:val="20"/>
          <w:szCs w:val="20"/>
        </w:rPr>
      </w:pPr>
    </w:p>
    <w:p w:rsidR="00642494" w:rsidRDefault="00642494" w:rsidP="00642494">
      <w:pPr>
        <w:spacing w:line="259" w:lineRule="auto"/>
        <w:rPr>
          <w:rFonts w:ascii="Arial" w:hAnsi="Arial" w:cs="Arial"/>
          <w:b/>
          <w:bCs/>
          <w:color w:val="000000"/>
          <w:sz w:val="20"/>
          <w:szCs w:val="20"/>
        </w:rPr>
      </w:pPr>
      <w:r>
        <w:rPr>
          <w:rFonts w:ascii="Arial" w:hAnsi="Arial" w:cs="Arial"/>
          <w:b/>
          <w:bCs/>
          <w:color w:val="000000"/>
          <w:sz w:val="20"/>
          <w:szCs w:val="20"/>
        </w:rPr>
        <w:lastRenderedPageBreak/>
        <w:t>Reserve Bank of India (Financial Statements - Presentation and Disclosures) Directions, 2021 - Disclosure of Divergence in Asset Classification and Provisioning</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RBI/2022-23/130</w:t>
      </w:r>
      <w:r>
        <w:rPr>
          <w:rFonts w:ascii="Arial" w:hAnsi="Arial" w:cs="Arial"/>
          <w:color w:val="000000"/>
          <w:sz w:val="20"/>
          <w:szCs w:val="20"/>
        </w:rPr>
        <w:br/>
        <w:t>DOR.ACC.REC.No.74/21.04.018/2022-23</w:t>
      </w:r>
    </w:p>
    <w:p w:rsidR="00642494" w:rsidRDefault="00642494" w:rsidP="00642494">
      <w:pPr>
        <w:pStyle w:val="NormalWeb"/>
        <w:jc w:val="right"/>
        <w:rPr>
          <w:rFonts w:ascii="Arial" w:hAnsi="Arial" w:cs="Arial"/>
          <w:color w:val="000000"/>
          <w:sz w:val="20"/>
          <w:szCs w:val="20"/>
        </w:rPr>
      </w:pPr>
      <w:r>
        <w:rPr>
          <w:rFonts w:ascii="Arial" w:hAnsi="Arial" w:cs="Arial"/>
          <w:color w:val="000000"/>
          <w:sz w:val="20"/>
          <w:szCs w:val="20"/>
        </w:rPr>
        <w:t>October 11, 2022</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Madam / Dear Sir,</w:t>
      </w:r>
    </w:p>
    <w:p w:rsidR="00642494" w:rsidRDefault="00642494" w:rsidP="00642494">
      <w:pPr>
        <w:pStyle w:val="head"/>
        <w:jc w:val="both"/>
        <w:rPr>
          <w:rFonts w:ascii="Arial" w:hAnsi="Arial" w:cs="Arial"/>
          <w:b/>
          <w:bCs/>
          <w:color w:val="000000"/>
          <w:sz w:val="20"/>
          <w:szCs w:val="20"/>
        </w:rPr>
      </w:pPr>
      <w:r>
        <w:rPr>
          <w:rFonts w:ascii="Arial" w:hAnsi="Arial" w:cs="Arial"/>
          <w:b/>
          <w:bCs/>
          <w:color w:val="000000"/>
          <w:sz w:val="20"/>
          <w:szCs w:val="20"/>
        </w:rPr>
        <w:t>Reserve Bank of India (Financial Statements - Presentation and Disclosures) Directions, 2021 - Disclosure of Divergence in Asset Classification and Provisioning</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In terms of paragraph C.4(e) of Annexure III to the </w:t>
      </w:r>
      <w:hyperlink r:id="rId17" w:tgtFrame="_blank" w:history="1">
        <w:r>
          <w:rPr>
            <w:rStyle w:val="Hyperlink"/>
            <w:rFonts w:ascii="Arial" w:hAnsi="Arial" w:cs="Arial"/>
            <w:sz w:val="20"/>
            <w:szCs w:val="20"/>
          </w:rPr>
          <w:t>Reserve Bank of India (Financial Statements-Presentation and Disclosures) Directions, 2021</w:t>
        </w:r>
      </w:hyperlink>
      <w:r>
        <w:rPr>
          <w:rFonts w:ascii="Arial" w:hAnsi="Arial" w:cs="Arial"/>
          <w:color w:val="000000"/>
          <w:sz w:val="20"/>
          <w:szCs w:val="20"/>
        </w:rPr>
        <w:t>, commercial banks (excluding Regional Rural Banks (RRBs)) are required to disclose details of divergence in asset classification and provisioning where such divergence assessed by the Reserve Bank of India (RBI) exceeds certain specified thresholds. In order to strengthen compliance with income recognition, asset classification and provisioning norms, it has now been decided to introduce similar disclosure requirements for Primary (Urban) Co-operative Banks (UCBs) and revise the specified thresholds for commercial banks.</w:t>
      </w:r>
    </w:p>
    <w:p w:rsidR="00642494" w:rsidRDefault="00642494" w:rsidP="00642494">
      <w:pPr>
        <w:pStyle w:val="NormalWeb"/>
        <w:spacing w:after="0" w:afterAutospacing="0"/>
        <w:jc w:val="both"/>
        <w:rPr>
          <w:rFonts w:ascii="Arial" w:hAnsi="Arial" w:cs="Arial"/>
          <w:color w:val="000000"/>
          <w:sz w:val="20"/>
          <w:szCs w:val="20"/>
        </w:rPr>
      </w:pPr>
      <w:r>
        <w:rPr>
          <w:rFonts w:ascii="Arial" w:hAnsi="Arial" w:cs="Arial"/>
          <w:color w:val="000000"/>
          <w:sz w:val="20"/>
          <w:szCs w:val="20"/>
        </w:rPr>
        <w:t>2. Accordingly, for the financial statements for the year ending March 31, 2023, banks shall make suitable disclosures in the manner specified in paragraph C.4(e) of Annex III to the afore-mentioned Directions, if either or both of the following conditions are satisfied:</w:t>
      </w:r>
    </w:p>
    <w:p w:rsidR="00642494" w:rsidRDefault="00642494" w:rsidP="00642494">
      <w:pPr>
        <w:pStyle w:val="NormalWeb"/>
        <w:numPr>
          <w:ilvl w:val="0"/>
          <w:numId w:val="37"/>
        </w:numPr>
        <w:ind w:left="0"/>
        <w:jc w:val="both"/>
        <w:rPr>
          <w:rFonts w:ascii="Arial" w:hAnsi="Arial" w:cs="Arial"/>
          <w:color w:val="000000"/>
          <w:sz w:val="20"/>
          <w:szCs w:val="20"/>
        </w:rPr>
      </w:pPr>
      <w:r>
        <w:rPr>
          <w:rFonts w:ascii="Arial" w:hAnsi="Arial" w:cs="Arial"/>
          <w:color w:val="000000"/>
          <w:sz w:val="20"/>
          <w:szCs w:val="20"/>
        </w:rPr>
        <w:t>the additional provisioning for non-performing assets (NPAs) assessed by the RBI exceeds 10 per cent of the reported profit before provisions and contingencies</w:t>
      </w:r>
      <w:hyperlink r:id="rId18" w:anchor="F1" w:history="1">
        <w:r>
          <w:rPr>
            <w:rStyle w:val="Hyperlink"/>
            <w:rFonts w:ascii="Arial" w:hAnsi="Arial" w:cs="Arial"/>
            <w:sz w:val="15"/>
            <w:szCs w:val="15"/>
            <w:vertAlign w:val="superscript"/>
          </w:rPr>
          <w:t>1</w:t>
        </w:r>
      </w:hyperlink>
      <w:r>
        <w:rPr>
          <w:rFonts w:ascii="Arial" w:hAnsi="Arial" w:cs="Arial"/>
          <w:color w:val="000000"/>
          <w:sz w:val="20"/>
          <w:szCs w:val="20"/>
        </w:rPr>
        <w:t> for the reference period; and</w:t>
      </w:r>
    </w:p>
    <w:p w:rsidR="00642494" w:rsidRDefault="00642494" w:rsidP="00642494">
      <w:pPr>
        <w:pStyle w:val="NormalWeb"/>
        <w:numPr>
          <w:ilvl w:val="0"/>
          <w:numId w:val="37"/>
        </w:numPr>
        <w:spacing w:before="0" w:beforeAutospacing="0" w:after="0" w:afterAutospacing="0"/>
        <w:ind w:left="0"/>
        <w:jc w:val="both"/>
        <w:rPr>
          <w:rFonts w:ascii="Arial" w:hAnsi="Arial" w:cs="Arial"/>
          <w:color w:val="000000"/>
          <w:sz w:val="20"/>
          <w:szCs w:val="20"/>
        </w:rPr>
      </w:pPr>
      <w:r>
        <w:rPr>
          <w:rFonts w:ascii="Arial" w:hAnsi="Arial" w:cs="Arial"/>
          <w:color w:val="000000"/>
          <w:sz w:val="20"/>
          <w:szCs w:val="20"/>
        </w:rPr>
        <w:t>the additional Gross NPAs identified by the RBI exceed 10 per cent of the reported</w:t>
      </w:r>
      <w:hyperlink r:id="rId19" w:anchor="F2" w:history="1">
        <w:r>
          <w:rPr>
            <w:rStyle w:val="Hyperlink"/>
            <w:rFonts w:ascii="Arial" w:hAnsi="Arial" w:cs="Arial"/>
            <w:sz w:val="15"/>
            <w:szCs w:val="15"/>
            <w:vertAlign w:val="superscript"/>
          </w:rPr>
          <w:t>2</w:t>
        </w:r>
      </w:hyperlink>
      <w:r>
        <w:rPr>
          <w:rFonts w:ascii="Arial" w:hAnsi="Arial" w:cs="Arial"/>
          <w:color w:val="000000"/>
          <w:sz w:val="20"/>
          <w:szCs w:val="20"/>
        </w:rPr>
        <w:t> incremental Gross NPAs for the reference period.</w:t>
      </w:r>
    </w:p>
    <w:p w:rsidR="00642494" w:rsidRDefault="00642494" w:rsidP="00642494">
      <w:pPr>
        <w:pStyle w:val="NormalWeb"/>
        <w:spacing w:before="0" w:beforeAutospacing="0"/>
        <w:jc w:val="both"/>
        <w:rPr>
          <w:rFonts w:ascii="Arial" w:hAnsi="Arial" w:cs="Arial"/>
          <w:color w:val="000000"/>
          <w:sz w:val="20"/>
          <w:szCs w:val="20"/>
        </w:rPr>
      </w:pPr>
      <w:r>
        <w:rPr>
          <w:rFonts w:ascii="Arial" w:hAnsi="Arial" w:cs="Arial"/>
          <w:color w:val="000000"/>
          <w:sz w:val="20"/>
          <w:szCs w:val="20"/>
        </w:rPr>
        <w:t>Provided further that in the case of UCBs the threshold for reported incremental Gross NPAs specified in paragraph 2(b) above shall be 15 per cent, which shall be reduced progressively in a phased manner, after review.</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3. The thresholds specified in paragraph (2) above shall be revised for disclosures in annual financial statements for the year ending March 31, 2024, and onwards, as under:</w:t>
      </w:r>
    </w:p>
    <w:tbl>
      <w:tblPr>
        <w:tblW w:w="54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0"/>
        <w:gridCol w:w="4682"/>
        <w:gridCol w:w="2694"/>
        <w:gridCol w:w="1859"/>
      </w:tblGrid>
      <w:tr w:rsidR="00642494" w:rsidTr="007E4525">
        <w:trPr>
          <w:trHeight w:val="437"/>
          <w:jc w:val="center"/>
        </w:trPr>
        <w:tc>
          <w:tcPr>
            <w:tcW w:w="286" w:type="pct"/>
            <w:tcMar>
              <w:top w:w="0" w:type="dxa"/>
              <w:left w:w="45" w:type="dxa"/>
              <w:bottom w:w="0" w:type="dxa"/>
              <w:right w:w="45" w:type="dxa"/>
            </w:tcMar>
            <w:vAlign w:val="center"/>
            <w:hideMark/>
          </w:tcPr>
          <w:p w:rsidR="00642494" w:rsidRDefault="00642494" w:rsidP="007E4525">
            <w:pPr>
              <w:jc w:val="center"/>
              <w:rPr>
                <w:rFonts w:ascii="Arial" w:hAnsi="Arial" w:cs="Arial"/>
                <w:b/>
                <w:bCs/>
                <w:color w:val="000000"/>
                <w:sz w:val="20"/>
                <w:szCs w:val="20"/>
              </w:rPr>
            </w:pPr>
            <w:r>
              <w:rPr>
                <w:rFonts w:ascii="Arial" w:hAnsi="Arial" w:cs="Arial"/>
                <w:b/>
                <w:bCs/>
                <w:color w:val="000000"/>
                <w:sz w:val="20"/>
                <w:szCs w:val="20"/>
              </w:rPr>
              <w:t>Ref.</w:t>
            </w:r>
          </w:p>
        </w:tc>
        <w:tc>
          <w:tcPr>
            <w:tcW w:w="2390" w:type="pct"/>
            <w:tcMar>
              <w:top w:w="0" w:type="dxa"/>
              <w:left w:w="45" w:type="dxa"/>
              <w:bottom w:w="0" w:type="dxa"/>
              <w:right w:w="45" w:type="dxa"/>
            </w:tcMar>
            <w:vAlign w:val="center"/>
            <w:hideMark/>
          </w:tcPr>
          <w:p w:rsidR="00642494" w:rsidRDefault="00642494" w:rsidP="007E4525">
            <w:pPr>
              <w:jc w:val="center"/>
              <w:rPr>
                <w:rFonts w:ascii="Arial" w:hAnsi="Arial" w:cs="Arial"/>
                <w:b/>
                <w:bCs/>
                <w:color w:val="000000"/>
                <w:sz w:val="20"/>
                <w:szCs w:val="20"/>
              </w:rPr>
            </w:pPr>
            <w:r>
              <w:rPr>
                <w:rFonts w:ascii="Arial" w:hAnsi="Arial" w:cs="Arial"/>
                <w:b/>
                <w:bCs/>
                <w:color w:val="000000"/>
                <w:sz w:val="20"/>
                <w:szCs w:val="20"/>
              </w:rPr>
              <w:t>Threshold linked to:</w:t>
            </w:r>
          </w:p>
        </w:tc>
        <w:tc>
          <w:tcPr>
            <w:tcW w:w="1375" w:type="pct"/>
            <w:tcMar>
              <w:top w:w="0" w:type="dxa"/>
              <w:left w:w="45" w:type="dxa"/>
              <w:bottom w:w="0" w:type="dxa"/>
              <w:right w:w="45" w:type="dxa"/>
            </w:tcMar>
            <w:vAlign w:val="center"/>
            <w:hideMark/>
          </w:tcPr>
          <w:p w:rsidR="00642494" w:rsidRDefault="00642494" w:rsidP="007E4525">
            <w:pPr>
              <w:jc w:val="center"/>
              <w:rPr>
                <w:rFonts w:ascii="Arial" w:hAnsi="Arial" w:cs="Arial"/>
                <w:b/>
                <w:bCs/>
                <w:color w:val="000000"/>
                <w:sz w:val="20"/>
                <w:szCs w:val="20"/>
              </w:rPr>
            </w:pPr>
            <w:r>
              <w:rPr>
                <w:rFonts w:ascii="Arial" w:hAnsi="Arial" w:cs="Arial"/>
                <w:b/>
                <w:bCs/>
                <w:color w:val="000000"/>
                <w:sz w:val="20"/>
                <w:szCs w:val="20"/>
              </w:rPr>
              <w:t>Commercial Banks (%)</w:t>
            </w:r>
          </w:p>
        </w:tc>
        <w:tc>
          <w:tcPr>
            <w:tcW w:w="949" w:type="pct"/>
            <w:tcMar>
              <w:top w:w="0" w:type="dxa"/>
              <w:left w:w="45" w:type="dxa"/>
              <w:bottom w:w="0" w:type="dxa"/>
              <w:right w:w="45" w:type="dxa"/>
            </w:tcMar>
            <w:vAlign w:val="center"/>
            <w:hideMark/>
          </w:tcPr>
          <w:p w:rsidR="00642494" w:rsidRDefault="00642494" w:rsidP="007E4525">
            <w:pPr>
              <w:jc w:val="center"/>
              <w:rPr>
                <w:rFonts w:ascii="Arial" w:hAnsi="Arial" w:cs="Arial"/>
                <w:b/>
                <w:bCs/>
                <w:color w:val="000000"/>
                <w:sz w:val="20"/>
                <w:szCs w:val="20"/>
              </w:rPr>
            </w:pPr>
            <w:r>
              <w:rPr>
                <w:rFonts w:ascii="Arial" w:hAnsi="Arial" w:cs="Arial"/>
                <w:b/>
                <w:bCs/>
                <w:color w:val="000000"/>
                <w:sz w:val="20"/>
                <w:szCs w:val="20"/>
              </w:rPr>
              <w:t>UCBs (%)</w:t>
            </w:r>
          </w:p>
        </w:tc>
      </w:tr>
      <w:tr w:rsidR="00642494" w:rsidTr="007E4525">
        <w:trPr>
          <w:trHeight w:val="442"/>
          <w:jc w:val="center"/>
        </w:trPr>
        <w:tc>
          <w:tcPr>
            <w:tcW w:w="286" w:type="pct"/>
            <w:tcMar>
              <w:top w:w="0" w:type="dxa"/>
              <w:left w:w="45" w:type="dxa"/>
              <w:bottom w:w="0" w:type="dxa"/>
              <w:right w:w="45" w:type="dxa"/>
            </w:tcMar>
            <w:vAlign w:val="center"/>
            <w:hideMark/>
          </w:tcPr>
          <w:p w:rsidR="00642494" w:rsidRDefault="00642494" w:rsidP="007E4525">
            <w:pPr>
              <w:jc w:val="center"/>
              <w:rPr>
                <w:rFonts w:ascii="Arial" w:hAnsi="Arial" w:cs="Arial"/>
                <w:color w:val="000000"/>
                <w:sz w:val="20"/>
                <w:szCs w:val="20"/>
              </w:rPr>
            </w:pPr>
            <w:r>
              <w:rPr>
                <w:rFonts w:ascii="Arial" w:hAnsi="Arial" w:cs="Arial"/>
                <w:color w:val="000000"/>
                <w:sz w:val="20"/>
                <w:szCs w:val="20"/>
              </w:rPr>
              <w:t>2(a)</w:t>
            </w:r>
          </w:p>
        </w:tc>
        <w:tc>
          <w:tcPr>
            <w:tcW w:w="2390" w:type="pct"/>
            <w:tcMar>
              <w:top w:w="0" w:type="dxa"/>
              <w:left w:w="45" w:type="dxa"/>
              <w:bottom w:w="0" w:type="dxa"/>
              <w:right w:w="45" w:type="dxa"/>
            </w:tcMar>
            <w:vAlign w:val="center"/>
            <w:hideMark/>
          </w:tcPr>
          <w:p w:rsidR="00642494" w:rsidRDefault="00642494" w:rsidP="007E4525">
            <w:pPr>
              <w:jc w:val="both"/>
              <w:rPr>
                <w:rFonts w:ascii="Arial" w:hAnsi="Arial" w:cs="Arial"/>
                <w:color w:val="000000"/>
                <w:sz w:val="20"/>
                <w:szCs w:val="20"/>
              </w:rPr>
            </w:pPr>
            <w:r>
              <w:rPr>
                <w:rFonts w:ascii="Arial" w:hAnsi="Arial" w:cs="Arial"/>
                <w:color w:val="000000"/>
                <w:sz w:val="20"/>
                <w:szCs w:val="20"/>
              </w:rPr>
              <w:t>Reported profit before provisions and contingencies</w:t>
            </w:r>
          </w:p>
        </w:tc>
        <w:tc>
          <w:tcPr>
            <w:tcW w:w="1375" w:type="pct"/>
            <w:tcMar>
              <w:top w:w="0" w:type="dxa"/>
              <w:left w:w="45" w:type="dxa"/>
              <w:bottom w:w="0" w:type="dxa"/>
              <w:right w:w="45" w:type="dxa"/>
            </w:tcMar>
            <w:vAlign w:val="center"/>
            <w:hideMark/>
          </w:tcPr>
          <w:p w:rsidR="00642494" w:rsidRDefault="00642494" w:rsidP="007E4525">
            <w:pPr>
              <w:jc w:val="center"/>
              <w:rPr>
                <w:rFonts w:ascii="Arial" w:hAnsi="Arial" w:cs="Arial"/>
                <w:color w:val="000000"/>
                <w:sz w:val="20"/>
                <w:szCs w:val="20"/>
              </w:rPr>
            </w:pPr>
            <w:r>
              <w:rPr>
                <w:rFonts w:ascii="Arial" w:hAnsi="Arial" w:cs="Arial"/>
                <w:color w:val="000000"/>
                <w:sz w:val="20"/>
                <w:szCs w:val="20"/>
              </w:rPr>
              <w:t>5</w:t>
            </w:r>
          </w:p>
        </w:tc>
        <w:tc>
          <w:tcPr>
            <w:tcW w:w="949" w:type="pct"/>
            <w:tcMar>
              <w:top w:w="0" w:type="dxa"/>
              <w:left w:w="45" w:type="dxa"/>
              <w:bottom w:w="0" w:type="dxa"/>
              <w:right w:w="45" w:type="dxa"/>
            </w:tcMar>
            <w:vAlign w:val="center"/>
            <w:hideMark/>
          </w:tcPr>
          <w:p w:rsidR="00642494" w:rsidRDefault="00642494" w:rsidP="007E4525">
            <w:pPr>
              <w:jc w:val="center"/>
              <w:rPr>
                <w:rFonts w:ascii="Arial" w:hAnsi="Arial" w:cs="Arial"/>
                <w:color w:val="000000"/>
                <w:sz w:val="20"/>
                <w:szCs w:val="20"/>
              </w:rPr>
            </w:pPr>
            <w:r>
              <w:rPr>
                <w:rFonts w:ascii="Arial" w:hAnsi="Arial" w:cs="Arial"/>
                <w:color w:val="000000"/>
                <w:sz w:val="20"/>
                <w:szCs w:val="20"/>
              </w:rPr>
              <w:t>5</w:t>
            </w:r>
          </w:p>
        </w:tc>
      </w:tr>
      <w:tr w:rsidR="00642494" w:rsidTr="007E4525">
        <w:trPr>
          <w:trHeight w:val="273"/>
          <w:jc w:val="center"/>
        </w:trPr>
        <w:tc>
          <w:tcPr>
            <w:tcW w:w="286" w:type="pct"/>
            <w:tcMar>
              <w:top w:w="0" w:type="dxa"/>
              <w:left w:w="45" w:type="dxa"/>
              <w:bottom w:w="0" w:type="dxa"/>
              <w:right w:w="45" w:type="dxa"/>
            </w:tcMar>
            <w:vAlign w:val="center"/>
            <w:hideMark/>
          </w:tcPr>
          <w:p w:rsidR="00642494" w:rsidRDefault="00642494" w:rsidP="007E4525">
            <w:pPr>
              <w:jc w:val="center"/>
              <w:rPr>
                <w:rFonts w:ascii="Arial" w:hAnsi="Arial" w:cs="Arial"/>
                <w:color w:val="000000"/>
                <w:sz w:val="20"/>
                <w:szCs w:val="20"/>
              </w:rPr>
            </w:pPr>
            <w:r>
              <w:rPr>
                <w:rFonts w:ascii="Arial" w:hAnsi="Arial" w:cs="Arial"/>
                <w:color w:val="000000"/>
                <w:sz w:val="20"/>
                <w:szCs w:val="20"/>
              </w:rPr>
              <w:t>2(b)</w:t>
            </w:r>
          </w:p>
        </w:tc>
        <w:tc>
          <w:tcPr>
            <w:tcW w:w="2390" w:type="pct"/>
            <w:tcMar>
              <w:top w:w="0" w:type="dxa"/>
              <w:left w:w="45" w:type="dxa"/>
              <w:bottom w:w="0" w:type="dxa"/>
              <w:right w:w="45" w:type="dxa"/>
            </w:tcMar>
            <w:vAlign w:val="center"/>
            <w:hideMark/>
          </w:tcPr>
          <w:p w:rsidR="00642494" w:rsidRDefault="00642494" w:rsidP="007E4525">
            <w:pPr>
              <w:jc w:val="both"/>
              <w:rPr>
                <w:rFonts w:ascii="Arial" w:hAnsi="Arial" w:cs="Arial"/>
                <w:color w:val="000000"/>
                <w:sz w:val="20"/>
                <w:szCs w:val="20"/>
              </w:rPr>
            </w:pPr>
            <w:r>
              <w:rPr>
                <w:rFonts w:ascii="Arial" w:hAnsi="Arial" w:cs="Arial"/>
                <w:color w:val="000000"/>
                <w:sz w:val="20"/>
                <w:szCs w:val="20"/>
              </w:rPr>
              <w:t>Reported incremental Gross NPA</w:t>
            </w:r>
          </w:p>
        </w:tc>
        <w:tc>
          <w:tcPr>
            <w:tcW w:w="1375" w:type="pct"/>
            <w:tcMar>
              <w:top w:w="0" w:type="dxa"/>
              <w:left w:w="45" w:type="dxa"/>
              <w:bottom w:w="0" w:type="dxa"/>
              <w:right w:w="45" w:type="dxa"/>
            </w:tcMar>
            <w:vAlign w:val="center"/>
            <w:hideMark/>
          </w:tcPr>
          <w:p w:rsidR="00642494" w:rsidRDefault="00642494" w:rsidP="007E4525">
            <w:pPr>
              <w:jc w:val="center"/>
              <w:rPr>
                <w:rFonts w:ascii="Arial" w:hAnsi="Arial" w:cs="Arial"/>
                <w:color w:val="000000"/>
                <w:sz w:val="20"/>
                <w:szCs w:val="20"/>
              </w:rPr>
            </w:pPr>
            <w:r>
              <w:rPr>
                <w:rFonts w:ascii="Arial" w:hAnsi="Arial" w:cs="Arial"/>
                <w:color w:val="000000"/>
                <w:sz w:val="20"/>
                <w:szCs w:val="20"/>
              </w:rPr>
              <w:t>5</w:t>
            </w:r>
          </w:p>
        </w:tc>
        <w:tc>
          <w:tcPr>
            <w:tcW w:w="949" w:type="pct"/>
            <w:tcMar>
              <w:top w:w="0" w:type="dxa"/>
              <w:left w:w="45" w:type="dxa"/>
              <w:bottom w:w="0" w:type="dxa"/>
              <w:right w:w="45" w:type="dxa"/>
            </w:tcMar>
            <w:vAlign w:val="center"/>
            <w:hideMark/>
          </w:tcPr>
          <w:p w:rsidR="00642494" w:rsidRDefault="00642494" w:rsidP="007E4525">
            <w:pPr>
              <w:jc w:val="center"/>
              <w:rPr>
                <w:rFonts w:ascii="Arial" w:hAnsi="Arial" w:cs="Arial"/>
                <w:color w:val="000000"/>
                <w:sz w:val="20"/>
                <w:szCs w:val="20"/>
              </w:rPr>
            </w:pPr>
            <w:r>
              <w:rPr>
                <w:rFonts w:ascii="Arial" w:hAnsi="Arial" w:cs="Arial"/>
                <w:color w:val="000000"/>
                <w:sz w:val="20"/>
                <w:szCs w:val="20"/>
              </w:rPr>
              <w:t>15*</w:t>
            </w:r>
          </w:p>
        </w:tc>
      </w:tr>
      <w:tr w:rsidR="00642494" w:rsidTr="007E4525">
        <w:trPr>
          <w:trHeight w:val="197"/>
          <w:jc w:val="center"/>
        </w:trPr>
        <w:tc>
          <w:tcPr>
            <w:tcW w:w="5000" w:type="pct"/>
            <w:gridSpan w:val="4"/>
            <w:tcMar>
              <w:top w:w="0" w:type="dxa"/>
              <w:left w:w="45" w:type="dxa"/>
              <w:bottom w:w="0" w:type="dxa"/>
              <w:right w:w="45" w:type="dxa"/>
            </w:tcMar>
            <w:vAlign w:val="center"/>
            <w:hideMark/>
          </w:tcPr>
          <w:p w:rsidR="00642494" w:rsidRDefault="00642494" w:rsidP="007E4525">
            <w:pPr>
              <w:jc w:val="both"/>
              <w:rPr>
                <w:rFonts w:ascii="Arial" w:hAnsi="Arial" w:cs="Arial"/>
                <w:color w:val="000000"/>
                <w:sz w:val="20"/>
                <w:szCs w:val="20"/>
              </w:rPr>
            </w:pPr>
            <w:r>
              <w:rPr>
                <w:rFonts w:ascii="Arial" w:hAnsi="Arial" w:cs="Arial"/>
                <w:color w:val="000000"/>
                <w:sz w:val="20"/>
                <w:szCs w:val="20"/>
              </w:rPr>
              <w:t>*May be reduced subject to review</w:t>
            </w:r>
          </w:p>
        </w:tc>
      </w:tr>
    </w:tbl>
    <w:p w:rsidR="00642494" w:rsidRDefault="00642494" w:rsidP="00642494">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642494" w:rsidRDefault="00642494" w:rsidP="00642494">
      <w:pPr>
        <w:pStyle w:val="NormalWeb"/>
        <w:spacing w:before="0" w:beforeAutospacing="0"/>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642494" w:rsidRDefault="00642494" w:rsidP="00642494">
      <w:pPr>
        <w:spacing w:line="259" w:lineRule="auto"/>
        <w:rPr>
          <w:rFonts w:ascii="Arial" w:hAnsi="Arial" w:cs="Arial"/>
          <w:sz w:val="20"/>
          <w:szCs w:val="20"/>
        </w:rPr>
      </w:pPr>
    </w:p>
    <w:p w:rsidR="00642494" w:rsidRDefault="00642494" w:rsidP="00642494">
      <w:pPr>
        <w:spacing w:after="0"/>
      </w:pPr>
    </w:p>
    <w:p w:rsidR="00642494" w:rsidRDefault="00642494" w:rsidP="00642494">
      <w:pPr>
        <w:spacing w:after="0"/>
      </w:pPr>
      <w:r>
        <w:t>More details can be referred to in the below link.</w:t>
      </w:r>
    </w:p>
    <w:p w:rsidR="00642494" w:rsidRDefault="00642494" w:rsidP="00642494">
      <w:pPr>
        <w:spacing w:after="0"/>
        <w:rPr>
          <w:rStyle w:val="Hyperlink"/>
          <w:rFonts w:ascii="Arial" w:hAnsi="Arial" w:cs="Arial"/>
          <w:bCs/>
          <w:sz w:val="20"/>
          <w:szCs w:val="20"/>
        </w:rPr>
      </w:pPr>
      <w:r>
        <w:rPr>
          <w:rFonts w:ascii="Arial" w:hAnsi="Arial" w:cs="Arial"/>
          <w:bCs/>
          <w:color w:val="000000"/>
          <w:sz w:val="20"/>
          <w:szCs w:val="20"/>
        </w:rPr>
        <w:t xml:space="preserve">Reference Link: </w:t>
      </w:r>
      <w:hyperlink r:id="rId20" w:anchor=":~:text=4(e)%20of%20Annexure%20III,by%20the%20Reserve%20Bank%20of" w:history="1">
        <w:r w:rsidRPr="00735218">
          <w:rPr>
            <w:rStyle w:val="Hyperlink"/>
            <w:rFonts w:ascii="Arial" w:hAnsi="Arial" w:cs="Arial"/>
            <w:bCs/>
            <w:sz w:val="20"/>
            <w:szCs w:val="20"/>
          </w:rPr>
          <w:t>https://www.rbi.org.in/scripts/FS_Notification.aspx?Id=12401&amp;fn=2&amp;Mode=0#:~:text=4(e)%20of%20Annexure%20III,by%20the%20Reserve%20Bank%20of</w:t>
        </w:r>
      </w:hyperlink>
    </w:p>
    <w:p w:rsidR="00642494" w:rsidRDefault="00642494" w:rsidP="00230EAC">
      <w:pPr>
        <w:spacing w:line="259" w:lineRule="auto"/>
        <w:rPr>
          <w:rFonts w:ascii="Arial" w:hAnsi="Arial" w:cs="Arial"/>
          <w:b/>
          <w:bCs/>
          <w:color w:val="000000"/>
          <w:sz w:val="20"/>
          <w:szCs w:val="20"/>
        </w:rPr>
      </w:pPr>
    </w:p>
    <w:p w:rsidR="00172136" w:rsidRDefault="00172136" w:rsidP="00172136">
      <w:pPr>
        <w:pStyle w:val="NormalWeb"/>
        <w:rPr>
          <w:rFonts w:ascii="Arial" w:hAnsi="Arial" w:cs="Arial"/>
          <w:b/>
          <w:bCs/>
          <w:color w:val="000000"/>
          <w:sz w:val="20"/>
          <w:szCs w:val="20"/>
        </w:rPr>
      </w:pPr>
      <w:r>
        <w:rPr>
          <w:rFonts w:ascii="Arial" w:hAnsi="Arial" w:cs="Arial"/>
          <w:b/>
          <w:bCs/>
          <w:color w:val="000000"/>
          <w:sz w:val="20"/>
          <w:szCs w:val="20"/>
        </w:rPr>
        <w:lastRenderedPageBreak/>
        <w:t>Eligibility Criteria for offering Internet Banking Facility by Regional Rural Banks, 2022</w:t>
      </w:r>
    </w:p>
    <w:p w:rsidR="00172136" w:rsidRDefault="00172136" w:rsidP="00172136">
      <w:pPr>
        <w:pStyle w:val="NormalWeb"/>
        <w:jc w:val="both"/>
        <w:rPr>
          <w:rFonts w:ascii="Arial" w:hAnsi="Arial" w:cs="Arial"/>
          <w:color w:val="000000"/>
          <w:sz w:val="20"/>
          <w:szCs w:val="20"/>
        </w:rPr>
      </w:pPr>
      <w:r>
        <w:rPr>
          <w:rFonts w:ascii="Arial" w:hAnsi="Arial" w:cs="Arial"/>
          <w:color w:val="000000"/>
          <w:sz w:val="20"/>
          <w:szCs w:val="20"/>
        </w:rPr>
        <w:t>RBI/2022-23/135</w:t>
      </w:r>
      <w:r>
        <w:rPr>
          <w:rFonts w:ascii="Arial" w:hAnsi="Arial" w:cs="Arial"/>
          <w:color w:val="000000"/>
          <w:sz w:val="20"/>
          <w:szCs w:val="20"/>
        </w:rPr>
        <w:br/>
        <w:t>DoR.AUT.REC.81/24.01.001/2022-23</w:t>
      </w:r>
    </w:p>
    <w:p w:rsidR="00172136" w:rsidRDefault="00172136" w:rsidP="00172136">
      <w:pPr>
        <w:pStyle w:val="NormalWeb"/>
        <w:jc w:val="right"/>
        <w:rPr>
          <w:rFonts w:ascii="Arial" w:hAnsi="Arial" w:cs="Arial"/>
          <w:color w:val="000000"/>
          <w:sz w:val="20"/>
          <w:szCs w:val="20"/>
        </w:rPr>
      </w:pPr>
      <w:r>
        <w:rPr>
          <w:rFonts w:ascii="Arial" w:hAnsi="Arial" w:cs="Arial"/>
          <w:color w:val="000000"/>
          <w:sz w:val="20"/>
          <w:szCs w:val="20"/>
        </w:rPr>
        <w:t>November 01, 2022</w:t>
      </w:r>
    </w:p>
    <w:p w:rsidR="00172136" w:rsidRDefault="00172136" w:rsidP="00172136">
      <w:pPr>
        <w:pStyle w:val="NormalWeb"/>
        <w:jc w:val="both"/>
        <w:rPr>
          <w:rFonts w:ascii="Arial" w:hAnsi="Arial" w:cs="Arial"/>
          <w:color w:val="000000"/>
          <w:sz w:val="20"/>
          <w:szCs w:val="20"/>
        </w:rPr>
      </w:pPr>
      <w:r>
        <w:rPr>
          <w:rFonts w:ascii="Arial" w:hAnsi="Arial" w:cs="Arial"/>
          <w:color w:val="000000"/>
          <w:sz w:val="20"/>
          <w:szCs w:val="20"/>
        </w:rPr>
        <w:t>Madam / Sir,</w:t>
      </w:r>
    </w:p>
    <w:p w:rsidR="00172136" w:rsidRDefault="00172136" w:rsidP="00172136">
      <w:pPr>
        <w:pStyle w:val="head"/>
        <w:jc w:val="center"/>
        <w:rPr>
          <w:rFonts w:ascii="Arial" w:hAnsi="Arial" w:cs="Arial"/>
          <w:b/>
          <w:bCs/>
          <w:color w:val="000000"/>
          <w:sz w:val="20"/>
          <w:szCs w:val="20"/>
        </w:rPr>
      </w:pPr>
      <w:r>
        <w:rPr>
          <w:rFonts w:ascii="Arial" w:hAnsi="Arial" w:cs="Arial"/>
          <w:b/>
          <w:bCs/>
          <w:color w:val="000000"/>
          <w:sz w:val="20"/>
          <w:szCs w:val="20"/>
        </w:rPr>
        <w:t>Eligibility Criteria for offering Internet Banking Facility by Regional Rural Banks, 2022</w:t>
      </w:r>
    </w:p>
    <w:p w:rsidR="00172136" w:rsidRDefault="00172136" w:rsidP="00172136">
      <w:pPr>
        <w:pStyle w:val="NormalWeb"/>
        <w:jc w:val="both"/>
        <w:rPr>
          <w:rFonts w:ascii="Arial" w:hAnsi="Arial" w:cs="Arial"/>
          <w:color w:val="000000"/>
          <w:sz w:val="20"/>
          <w:szCs w:val="20"/>
        </w:rPr>
      </w:pPr>
      <w:r>
        <w:rPr>
          <w:rFonts w:ascii="Arial" w:hAnsi="Arial" w:cs="Arial"/>
          <w:color w:val="000000"/>
          <w:sz w:val="20"/>
          <w:szCs w:val="20"/>
        </w:rPr>
        <w:t>In exercise of the powers conferred by Sections 35A of the Banking Regulation Act, 1949, the Reserve Bank of India being satisfied that it is necessary and expedient in the public interest so to do, hereby, amends the instructions issued vide </w:t>
      </w:r>
      <w:hyperlink r:id="rId21" w:tgtFrame="_blank" w:history="1">
        <w:r>
          <w:rPr>
            <w:rStyle w:val="Hyperlink"/>
            <w:rFonts w:ascii="Arial" w:hAnsi="Arial" w:cs="Arial"/>
            <w:sz w:val="20"/>
            <w:szCs w:val="20"/>
          </w:rPr>
          <w:t>circular DBR.RRB.BC.No.59/31.01.001/2015-16 dated November 19, 2015</w:t>
        </w:r>
      </w:hyperlink>
      <w:r>
        <w:rPr>
          <w:rFonts w:ascii="Arial" w:hAnsi="Arial" w:cs="Arial"/>
          <w:color w:val="000000"/>
          <w:sz w:val="20"/>
          <w:szCs w:val="20"/>
        </w:rPr>
        <w:t> on ‘Internet Banking Facility for Customers of Regional Rural Banks’.</w:t>
      </w:r>
    </w:p>
    <w:p w:rsidR="00172136" w:rsidRDefault="00172136" w:rsidP="00172136">
      <w:pPr>
        <w:pStyle w:val="NormalWeb"/>
        <w:jc w:val="both"/>
        <w:rPr>
          <w:rFonts w:ascii="Arial" w:hAnsi="Arial" w:cs="Arial"/>
          <w:color w:val="000000"/>
          <w:sz w:val="20"/>
          <w:szCs w:val="20"/>
        </w:rPr>
      </w:pPr>
      <w:r>
        <w:rPr>
          <w:rFonts w:ascii="Arial" w:hAnsi="Arial" w:cs="Arial"/>
          <w:color w:val="000000"/>
          <w:sz w:val="20"/>
          <w:szCs w:val="20"/>
        </w:rPr>
        <w:t>Keeping in view the need to promote the spread of digital banking for customers in rural areas, the eligibility criteria applicable to Regional Rural Banks for offering Internet Banking with transactional facility to their customers have been revised, the details of which are enclosed in the </w:t>
      </w:r>
      <w:hyperlink r:id="rId22" w:anchor="AN" w:history="1">
        <w:r>
          <w:rPr>
            <w:rStyle w:val="Hyperlink"/>
            <w:rFonts w:ascii="Arial" w:hAnsi="Arial" w:cs="Arial"/>
            <w:sz w:val="20"/>
            <w:szCs w:val="20"/>
          </w:rPr>
          <w:t>Annex</w:t>
        </w:r>
      </w:hyperlink>
      <w:r>
        <w:rPr>
          <w:rFonts w:ascii="Arial" w:hAnsi="Arial" w:cs="Arial"/>
          <w:color w:val="000000"/>
          <w:sz w:val="20"/>
          <w:szCs w:val="20"/>
        </w:rPr>
        <w:t>.</w:t>
      </w:r>
    </w:p>
    <w:p w:rsidR="00172136" w:rsidRDefault="00172136" w:rsidP="00172136">
      <w:pPr>
        <w:pStyle w:val="head"/>
        <w:jc w:val="both"/>
        <w:rPr>
          <w:rFonts w:ascii="Arial" w:hAnsi="Arial" w:cs="Arial"/>
          <w:b/>
          <w:bCs/>
          <w:color w:val="000000"/>
          <w:sz w:val="20"/>
          <w:szCs w:val="20"/>
        </w:rPr>
      </w:pPr>
      <w:r>
        <w:rPr>
          <w:rFonts w:ascii="Arial" w:hAnsi="Arial" w:cs="Arial"/>
          <w:b/>
          <w:bCs/>
          <w:color w:val="000000"/>
          <w:sz w:val="20"/>
          <w:szCs w:val="20"/>
        </w:rPr>
        <w:t>2. Commencement</w:t>
      </w:r>
    </w:p>
    <w:p w:rsidR="00172136" w:rsidRDefault="00172136" w:rsidP="00172136">
      <w:pPr>
        <w:pStyle w:val="NormalWeb"/>
        <w:jc w:val="both"/>
        <w:rPr>
          <w:rFonts w:ascii="Arial" w:hAnsi="Arial" w:cs="Arial"/>
          <w:color w:val="000000"/>
          <w:sz w:val="20"/>
          <w:szCs w:val="20"/>
        </w:rPr>
      </w:pPr>
      <w:r>
        <w:rPr>
          <w:rFonts w:ascii="Arial" w:hAnsi="Arial" w:cs="Arial"/>
          <w:color w:val="000000"/>
          <w:sz w:val="20"/>
          <w:szCs w:val="20"/>
        </w:rPr>
        <w:t>The circular comes into force from November 01, 2022.</w:t>
      </w:r>
    </w:p>
    <w:p w:rsidR="00172136" w:rsidRDefault="00172136" w:rsidP="00172136">
      <w:pPr>
        <w:pStyle w:val="head"/>
        <w:jc w:val="both"/>
        <w:rPr>
          <w:rFonts w:ascii="Arial" w:hAnsi="Arial" w:cs="Arial"/>
          <w:b/>
          <w:bCs/>
          <w:color w:val="000000"/>
          <w:sz w:val="20"/>
          <w:szCs w:val="20"/>
        </w:rPr>
      </w:pPr>
      <w:r>
        <w:rPr>
          <w:rFonts w:ascii="Arial" w:hAnsi="Arial" w:cs="Arial"/>
          <w:b/>
          <w:bCs/>
          <w:color w:val="000000"/>
          <w:sz w:val="20"/>
          <w:szCs w:val="20"/>
        </w:rPr>
        <w:t>3. Applicability</w:t>
      </w:r>
    </w:p>
    <w:p w:rsidR="00172136" w:rsidRDefault="00172136" w:rsidP="00172136">
      <w:pPr>
        <w:pStyle w:val="NormalWeb"/>
        <w:jc w:val="both"/>
        <w:rPr>
          <w:rFonts w:ascii="Arial" w:hAnsi="Arial" w:cs="Arial"/>
          <w:color w:val="000000"/>
          <w:sz w:val="20"/>
          <w:szCs w:val="20"/>
        </w:rPr>
      </w:pPr>
      <w:r>
        <w:rPr>
          <w:rFonts w:ascii="Arial" w:hAnsi="Arial" w:cs="Arial"/>
          <w:color w:val="000000"/>
          <w:sz w:val="20"/>
          <w:szCs w:val="20"/>
        </w:rPr>
        <w:t>This circular is applicable to all Regional Rural Banks (RRBs).</w:t>
      </w:r>
    </w:p>
    <w:p w:rsidR="00172136" w:rsidRDefault="00172136" w:rsidP="00172136">
      <w:pPr>
        <w:pStyle w:val="NormalWeb"/>
        <w:rPr>
          <w:rFonts w:ascii="Arial" w:hAnsi="Arial" w:cs="Arial"/>
          <w:color w:val="000000"/>
          <w:sz w:val="20"/>
          <w:szCs w:val="20"/>
        </w:rPr>
      </w:pPr>
      <w:r>
        <w:rPr>
          <w:rFonts w:ascii="Arial" w:hAnsi="Arial" w:cs="Arial"/>
          <w:color w:val="000000"/>
          <w:sz w:val="20"/>
          <w:szCs w:val="20"/>
        </w:rPr>
        <w:t xml:space="preserve">(Prakash </w:t>
      </w:r>
      <w:proofErr w:type="spellStart"/>
      <w:r>
        <w:rPr>
          <w:rFonts w:ascii="Arial" w:hAnsi="Arial" w:cs="Arial"/>
          <w:color w:val="000000"/>
          <w:sz w:val="20"/>
          <w:szCs w:val="20"/>
        </w:rPr>
        <w:t>Baliarsingh</w:t>
      </w:r>
      <w:proofErr w:type="spellEnd"/>
      <w:r>
        <w:rPr>
          <w:rFonts w:ascii="Arial" w:hAnsi="Arial" w:cs="Arial"/>
          <w:color w:val="000000"/>
          <w:sz w:val="20"/>
          <w:szCs w:val="20"/>
        </w:rPr>
        <w:t>)</w:t>
      </w:r>
      <w:r>
        <w:rPr>
          <w:rFonts w:ascii="Arial" w:hAnsi="Arial" w:cs="Arial"/>
          <w:color w:val="000000"/>
          <w:sz w:val="20"/>
          <w:szCs w:val="20"/>
        </w:rPr>
        <w:br/>
        <w:t>Chief General Manager</w:t>
      </w:r>
    </w:p>
    <w:p w:rsidR="00172136" w:rsidRDefault="00172136" w:rsidP="00172136">
      <w:pPr>
        <w:pStyle w:val="NormalWeb"/>
        <w:rPr>
          <w:rFonts w:ascii="Arial" w:hAnsi="Arial" w:cs="Arial"/>
          <w:b/>
          <w:bCs/>
          <w:color w:val="000000"/>
          <w:sz w:val="20"/>
          <w:szCs w:val="20"/>
        </w:rPr>
      </w:pPr>
    </w:p>
    <w:p w:rsidR="00172136" w:rsidRDefault="00172136" w:rsidP="00172136">
      <w:pPr>
        <w:pStyle w:val="NormalWeb"/>
        <w:rPr>
          <w:rFonts w:ascii="Arial" w:hAnsi="Arial" w:cs="Arial"/>
          <w:b/>
          <w:bCs/>
          <w:color w:val="000000"/>
          <w:sz w:val="20"/>
          <w:szCs w:val="20"/>
        </w:rPr>
      </w:pPr>
    </w:p>
    <w:p w:rsidR="00172136" w:rsidRDefault="00172136" w:rsidP="00172136">
      <w:pPr>
        <w:pStyle w:val="NormalWeb"/>
        <w:rPr>
          <w:rFonts w:ascii="Arial" w:hAnsi="Arial" w:cs="Arial"/>
          <w:b/>
          <w:bCs/>
          <w:color w:val="000000"/>
          <w:sz w:val="20"/>
          <w:szCs w:val="20"/>
        </w:rPr>
      </w:pPr>
    </w:p>
    <w:p w:rsidR="00172136" w:rsidRDefault="00172136" w:rsidP="00172136">
      <w:r>
        <w:t>More details can be referred to in the below link.</w:t>
      </w:r>
    </w:p>
    <w:p w:rsidR="00172136" w:rsidRDefault="00172136" w:rsidP="00172136">
      <w:pPr>
        <w:pStyle w:val="NormalWeb"/>
        <w:rPr>
          <w:rFonts w:ascii="Arial" w:hAnsi="Arial" w:cs="Arial"/>
          <w:bCs/>
          <w:color w:val="000000"/>
          <w:sz w:val="20"/>
          <w:szCs w:val="20"/>
        </w:rPr>
      </w:pPr>
      <w:r>
        <w:rPr>
          <w:rFonts w:ascii="Arial" w:hAnsi="Arial" w:cs="Arial"/>
          <w:bCs/>
          <w:color w:val="000000"/>
          <w:sz w:val="20"/>
          <w:szCs w:val="20"/>
        </w:rPr>
        <w:t>Reference Link:</w:t>
      </w:r>
      <w:r>
        <w:rPr>
          <w:rFonts w:ascii="Arial" w:hAnsi="Arial" w:cs="Arial"/>
          <w:b/>
          <w:bCs/>
          <w:color w:val="000000"/>
          <w:sz w:val="20"/>
          <w:szCs w:val="20"/>
        </w:rPr>
        <w:t xml:space="preserve"> </w:t>
      </w:r>
      <w:hyperlink r:id="rId23" w:history="1">
        <w:r w:rsidRPr="00996689">
          <w:rPr>
            <w:rStyle w:val="Hyperlink"/>
            <w:rFonts w:ascii="Arial" w:hAnsi="Arial" w:cs="Arial"/>
            <w:bCs/>
            <w:sz w:val="20"/>
            <w:szCs w:val="20"/>
          </w:rPr>
          <w:t>https://www.rbi.org.in/scripts/FS_Notification.aspx?Id=12407&amp;fn=2&amp;Mode=0</w:t>
        </w:r>
      </w:hyperlink>
    </w:p>
    <w:p w:rsidR="00172136" w:rsidRPr="00ED4725" w:rsidRDefault="00172136" w:rsidP="00172136">
      <w:pPr>
        <w:pStyle w:val="NormalWeb"/>
        <w:rPr>
          <w:rFonts w:ascii="Arial" w:hAnsi="Arial" w:cs="Arial"/>
          <w:bCs/>
          <w:color w:val="000000"/>
          <w:sz w:val="20"/>
          <w:szCs w:val="20"/>
        </w:rPr>
      </w:pPr>
    </w:p>
    <w:p w:rsidR="00172136" w:rsidRDefault="00172136" w:rsidP="00172136">
      <w:pPr>
        <w:pStyle w:val="NormalWeb"/>
        <w:rPr>
          <w:rFonts w:ascii="Arial" w:hAnsi="Arial" w:cs="Arial"/>
          <w:b/>
          <w:bCs/>
          <w:color w:val="000000"/>
          <w:sz w:val="20"/>
          <w:szCs w:val="20"/>
        </w:rPr>
      </w:pPr>
    </w:p>
    <w:p w:rsidR="00172136" w:rsidRDefault="00172136" w:rsidP="00172136">
      <w:pPr>
        <w:pStyle w:val="NormalWeb"/>
        <w:rPr>
          <w:rFonts w:ascii="Arial" w:hAnsi="Arial" w:cs="Arial"/>
          <w:b/>
          <w:bCs/>
          <w:color w:val="000000"/>
          <w:sz w:val="20"/>
          <w:szCs w:val="20"/>
        </w:rPr>
      </w:pPr>
    </w:p>
    <w:p w:rsidR="00172136" w:rsidRDefault="00172136" w:rsidP="00172136">
      <w:pPr>
        <w:pStyle w:val="NormalWeb"/>
        <w:rPr>
          <w:rFonts w:ascii="Arial" w:hAnsi="Arial" w:cs="Arial"/>
          <w:b/>
          <w:bCs/>
          <w:color w:val="000000"/>
          <w:sz w:val="20"/>
          <w:szCs w:val="20"/>
        </w:rPr>
      </w:pPr>
    </w:p>
    <w:p w:rsidR="00172136" w:rsidRDefault="00172136" w:rsidP="00172136">
      <w:pPr>
        <w:pStyle w:val="NormalWeb"/>
        <w:rPr>
          <w:rFonts w:ascii="Arial" w:hAnsi="Arial" w:cs="Arial"/>
          <w:b/>
          <w:bCs/>
          <w:color w:val="000000"/>
          <w:sz w:val="20"/>
          <w:szCs w:val="20"/>
        </w:rPr>
      </w:pPr>
    </w:p>
    <w:p w:rsidR="00172136" w:rsidRDefault="00172136" w:rsidP="00642494">
      <w:pPr>
        <w:pStyle w:val="NormalWeb"/>
        <w:rPr>
          <w:rFonts w:ascii="Arial" w:hAnsi="Arial" w:cs="Arial"/>
          <w:b/>
          <w:bCs/>
          <w:color w:val="000000"/>
          <w:sz w:val="20"/>
          <w:szCs w:val="20"/>
        </w:rPr>
      </w:pPr>
    </w:p>
    <w:p w:rsidR="00642494" w:rsidRDefault="00642494" w:rsidP="00642494">
      <w:pPr>
        <w:pStyle w:val="NormalWeb"/>
        <w:rPr>
          <w:rFonts w:ascii="Arial" w:hAnsi="Arial" w:cs="Arial"/>
          <w:b/>
          <w:bCs/>
          <w:color w:val="000000"/>
          <w:sz w:val="20"/>
          <w:szCs w:val="20"/>
        </w:rPr>
      </w:pPr>
      <w:r>
        <w:rPr>
          <w:rFonts w:ascii="Arial" w:hAnsi="Arial" w:cs="Arial"/>
          <w:b/>
          <w:bCs/>
          <w:color w:val="000000"/>
          <w:sz w:val="20"/>
          <w:szCs w:val="20"/>
        </w:rPr>
        <w:lastRenderedPageBreak/>
        <w:t xml:space="preserve">Modified Interest Subvention Scheme for Short Term Loans for Agriculture and Allied Activities availed through </w:t>
      </w:r>
      <w:proofErr w:type="spellStart"/>
      <w:r>
        <w:rPr>
          <w:rFonts w:ascii="Arial" w:hAnsi="Arial" w:cs="Arial"/>
          <w:b/>
          <w:bCs/>
          <w:color w:val="000000"/>
          <w:sz w:val="20"/>
          <w:szCs w:val="20"/>
        </w:rPr>
        <w:t>Kisan</w:t>
      </w:r>
      <w:proofErr w:type="spellEnd"/>
      <w:r>
        <w:rPr>
          <w:rFonts w:ascii="Arial" w:hAnsi="Arial" w:cs="Arial"/>
          <w:b/>
          <w:bCs/>
          <w:color w:val="000000"/>
          <w:sz w:val="20"/>
          <w:szCs w:val="20"/>
        </w:rPr>
        <w:t xml:space="preserve"> Credit Card (KCC) during the financial years 2022-23 and 2023-24</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RBI/2022-23/139</w:t>
      </w:r>
      <w:r>
        <w:rPr>
          <w:rFonts w:ascii="Arial" w:hAnsi="Arial" w:cs="Arial"/>
          <w:color w:val="000000"/>
          <w:sz w:val="20"/>
          <w:szCs w:val="20"/>
        </w:rPr>
        <w:br/>
        <w:t>FIDD.CO.FSD.BC.No.13/05.02.001/2022-23</w:t>
      </w:r>
    </w:p>
    <w:p w:rsidR="00642494" w:rsidRDefault="00642494" w:rsidP="00642494">
      <w:pPr>
        <w:pStyle w:val="NormalWeb"/>
        <w:jc w:val="right"/>
        <w:rPr>
          <w:rFonts w:ascii="Arial" w:hAnsi="Arial" w:cs="Arial"/>
          <w:color w:val="000000"/>
          <w:sz w:val="20"/>
          <w:szCs w:val="20"/>
        </w:rPr>
      </w:pPr>
      <w:r>
        <w:rPr>
          <w:rFonts w:ascii="Arial" w:hAnsi="Arial" w:cs="Arial"/>
          <w:color w:val="000000"/>
          <w:sz w:val="20"/>
          <w:szCs w:val="20"/>
        </w:rPr>
        <w:t>November 23, 2022</w:t>
      </w:r>
    </w:p>
    <w:p w:rsidR="00642494" w:rsidRDefault="00642494" w:rsidP="00642494">
      <w:pPr>
        <w:pStyle w:val="NormalWeb"/>
        <w:rPr>
          <w:rFonts w:ascii="Arial" w:hAnsi="Arial" w:cs="Arial"/>
          <w:color w:val="000000"/>
          <w:sz w:val="20"/>
          <w:szCs w:val="20"/>
        </w:rPr>
      </w:pPr>
      <w:r>
        <w:rPr>
          <w:rFonts w:ascii="Arial" w:hAnsi="Arial" w:cs="Arial"/>
          <w:color w:val="000000"/>
          <w:sz w:val="20"/>
          <w:szCs w:val="20"/>
        </w:rPr>
        <w:t>The Chairman/Managing Director/Chief Executive Officer</w:t>
      </w:r>
      <w:r>
        <w:rPr>
          <w:rFonts w:ascii="Arial" w:hAnsi="Arial" w:cs="Arial"/>
          <w:color w:val="000000"/>
          <w:sz w:val="20"/>
          <w:szCs w:val="20"/>
        </w:rPr>
        <w:br/>
        <w:t>All Public Sector Banks, Private Sector Banks and</w:t>
      </w:r>
      <w:r>
        <w:rPr>
          <w:rFonts w:ascii="Arial" w:hAnsi="Arial" w:cs="Arial"/>
          <w:color w:val="000000"/>
          <w:sz w:val="20"/>
          <w:szCs w:val="20"/>
        </w:rPr>
        <w:br/>
        <w:t>Small Finance Banks</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Madam/Dear Sir,</w:t>
      </w:r>
    </w:p>
    <w:p w:rsidR="00642494" w:rsidRDefault="00642494" w:rsidP="00642494">
      <w:pPr>
        <w:pStyle w:val="head"/>
        <w:jc w:val="both"/>
        <w:rPr>
          <w:rFonts w:ascii="Arial" w:hAnsi="Arial" w:cs="Arial"/>
          <w:b/>
          <w:bCs/>
          <w:color w:val="000000"/>
          <w:sz w:val="20"/>
          <w:szCs w:val="20"/>
        </w:rPr>
      </w:pPr>
      <w:r>
        <w:rPr>
          <w:rFonts w:ascii="Arial" w:hAnsi="Arial" w:cs="Arial"/>
          <w:b/>
          <w:bCs/>
          <w:color w:val="000000"/>
          <w:sz w:val="20"/>
          <w:szCs w:val="20"/>
        </w:rPr>
        <w:t xml:space="preserve">Modified Interest Subvention Scheme for Short Term Loans for Agriculture and Allied Activities availed through </w:t>
      </w:r>
      <w:proofErr w:type="spellStart"/>
      <w:r>
        <w:rPr>
          <w:rFonts w:ascii="Arial" w:hAnsi="Arial" w:cs="Arial"/>
          <w:b/>
          <w:bCs/>
          <w:color w:val="000000"/>
          <w:sz w:val="20"/>
          <w:szCs w:val="20"/>
        </w:rPr>
        <w:t>Kisan</w:t>
      </w:r>
      <w:proofErr w:type="spellEnd"/>
      <w:r>
        <w:rPr>
          <w:rFonts w:ascii="Arial" w:hAnsi="Arial" w:cs="Arial"/>
          <w:b/>
          <w:bCs/>
          <w:color w:val="000000"/>
          <w:sz w:val="20"/>
          <w:szCs w:val="20"/>
        </w:rPr>
        <w:t xml:space="preserve"> Credit Card (KCC) during the financial years 2022-23 and 2023-24</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24" w:tgtFrame="_blank" w:history="1">
        <w:r>
          <w:rPr>
            <w:rStyle w:val="Hyperlink"/>
            <w:rFonts w:ascii="Arial" w:hAnsi="Arial" w:cs="Arial"/>
            <w:sz w:val="20"/>
            <w:szCs w:val="20"/>
          </w:rPr>
          <w:t>circular FIDD.CO.FSD.BC.No.3/05.02.001/2022-23 dated April 28, 2022</w:t>
        </w:r>
      </w:hyperlink>
      <w:r>
        <w:rPr>
          <w:rFonts w:ascii="Arial" w:hAnsi="Arial" w:cs="Arial"/>
          <w:color w:val="000000"/>
          <w:sz w:val="20"/>
          <w:szCs w:val="20"/>
        </w:rPr>
        <w:t> conveying the decision of the Government of India for continuation of the Modified Interest Subvention Scheme for short term loans for agriculture and allied activities for the year 2021-22.</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2. In this regard, it is advised that Government of India has approved the continuation of the Interest Subvention Scheme (ISS) with modification for the financial years 2022-23 and 2023-24 with the following stipulations:</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w:t>
      </w:r>
      <w:proofErr w:type="spellEnd"/>
      <w:r>
        <w:rPr>
          <w:rFonts w:ascii="Arial" w:hAnsi="Arial" w:cs="Arial"/>
          <w:color w:val="000000"/>
          <w:sz w:val="20"/>
          <w:szCs w:val="20"/>
        </w:rPr>
        <w:t xml:space="preserve">) In order to provide short term crop loans and short term loans for allied activities including animal husbandry, dairy, fisheries, bee keeping etc. </w:t>
      </w:r>
      <w:proofErr w:type="spellStart"/>
      <w:r>
        <w:rPr>
          <w:rFonts w:ascii="Arial" w:hAnsi="Arial" w:cs="Arial"/>
          <w:color w:val="000000"/>
          <w:sz w:val="20"/>
          <w:szCs w:val="20"/>
        </w:rPr>
        <w:t>upto</w:t>
      </w:r>
      <w:proofErr w:type="spellEnd"/>
      <w:r>
        <w:rPr>
          <w:rFonts w:ascii="Arial" w:hAnsi="Arial" w:cs="Arial"/>
          <w:color w:val="000000"/>
          <w:sz w:val="20"/>
          <w:szCs w:val="20"/>
        </w:rPr>
        <w:t xml:space="preserve"> an overall limit of ₹3 lakh to farmers through KCC at concessional interest rate during the years 2022-23 and 2023-24, it has been decided to provide interest subvention to lending institutions viz. Public Sector Banks (PSBs) and Private Sector Banks (in respect of loans given by their rural and semi-urban branches only), Small Finance Banks (SFBs) and computerized Primary Agriculture Cooperative Societies (PACS) which have been ceded with Scheduled Commercial Banks (SCBs), on use of their own resources. This interest subvention will be calculated on the loan amount from the date of disbursement/</w:t>
      </w:r>
      <w:proofErr w:type="spellStart"/>
      <w:r>
        <w:rPr>
          <w:rFonts w:ascii="Arial" w:hAnsi="Arial" w:cs="Arial"/>
          <w:color w:val="000000"/>
          <w:sz w:val="20"/>
          <w:szCs w:val="20"/>
        </w:rPr>
        <w:t>drawal</w:t>
      </w:r>
      <w:proofErr w:type="spellEnd"/>
      <w:r>
        <w:rPr>
          <w:rFonts w:ascii="Arial" w:hAnsi="Arial" w:cs="Arial"/>
          <w:color w:val="000000"/>
          <w:sz w:val="20"/>
          <w:szCs w:val="20"/>
        </w:rPr>
        <w:t xml:space="preserve"> up to the date of actual repayment of the loan by the farmer or up to the due date of the loan fixed by the banks, whichever is earlier, subject to a maximum period of one year. The applicable lending rate to farmers and the rate of interest subvention for the financial years 2022-23 and 2023-24 will be as follows:</w:t>
      </w:r>
    </w:p>
    <w:tbl>
      <w:tblPr>
        <w:tblW w:w="4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5"/>
        <w:gridCol w:w="2408"/>
        <w:gridCol w:w="4943"/>
      </w:tblGrid>
      <w:tr w:rsidR="00642494" w:rsidTr="007E4525">
        <w:trPr>
          <w:trHeight w:val="418"/>
          <w:jc w:val="center"/>
        </w:trPr>
        <w:tc>
          <w:tcPr>
            <w:tcW w:w="873" w:type="pct"/>
            <w:tcMar>
              <w:top w:w="0" w:type="dxa"/>
              <w:left w:w="45" w:type="dxa"/>
              <w:bottom w:w="0" w:type="dxa"/>
              <w:right w:w="45" w:type="dxa"/>
            </w:tcMar>
            <w:vAlign w:val="center"/>
            <w:hideMark/>
          </w:tcPr>
          <w:p w:rsidR="00642494" w:rsidRDefault="00642494" w:rsidP="007E4525">
            <w:pPr>
              <w:jc w:val="center"/>
              <w:rPr>
                <w:rFonts w:ascii="Arial" w:hAnsi="Arial" w:cs="Arial"/>
                <w:b/>
                <w:bCs/>
                <w:color w:val="000000"/>
                <w:sz w:val="20"/>
                <w:szCs w:val="20"/>
              </w:rPr>
            </w:pPr>
            <w:r>
              <w:rPr>
                <w:rFonts w:ascii="Arial" w:hAnsi="Arial" w:cs="Arial"/>
                <w:b/>
                <w:bCs/>
                <w:color w:val="000000"/>
                <w:sz w:val="20"/>
                <w:szCs w:val="20"/>
              </w:rPr>
              <w:t>Financial Year</w:t>
            </w:r>
          </w:p>
        </w:tc>
        <w:tc>
          <w:tcPr>
            <w:tcW w:w="1352" w:type="pct"/>
            <w:tcMar>
              <w:top w:w="0" w:type="dxa"/>
              <w:left w:w="45" w:type="dxa"/>
              <w:bottom w:w="0" w:type="dxa"/>
              <w:right w:w="45" w:type="dxa"/>
            </w:tcMar>
            <w:vAlign w:val="center"/>
            <w:hideMark/>
          </w:tcPr>
          <w:p w:rsidR="00642494" w:rsidRDefault="00642494" w:rsidP="007E4525">
            <w:pPr>
              <w:jc w:val="center"/>
              <w:rPr>
                <w:rFonts w:ascii="Arial" w:hAnsi="Arial" w:cs="Arial"/>
                <w:b/>
                <w:bCs/>
                <w:color w:val="000000"/>
                <w:sz w:val="20"/>
                <w:szCs w:val="20"/>
              </w:rPr>
            </w:pPr>
            <w:r>
              <w:rPr>
                <w:rFonts w:ascii="Arial" w:hAnsi="Arial" w:cs="Arial"/>
                <w:b/>
                <w:bCs/>
                <w:color w:val="000000"/>
                <w:sz w:val="20"/>
                <w:szCs w:val="20"/>
              </w:rPr>
              <w:t>Lending rate to farmers</w:t>
            </w:r>
          </w:p>
        </w:tc>
        <w:tc>
          <w:tcPr>
            <w:tcW w:w="2775" w:type="pct"/>
            <w:tcMar>
              <w:top w:w="0" w:type="dxa"/>
              <w:left w:w="45" w:type="dxa"/>
              <w:bottom w:w="0" w:type="dxa"/>
              <w:right w:w="45" w:type="dxa"/>
            </w:tcMar>
            <w:vAlign w:val="center"/>
            <w:hideMark/>
          </w:tcPr>
          <w:p w:rsidR="00642494" w:rsidRDefault="00642494" w:rsidP="007E4525">
            <w:pPr>
              <w:jc w:val="center"/>
              <w:rPr>
                <w:rFonts w:ascii="Arial" w:hAnsi="Arial" w:cs="Arial"/>
                <w:b/>
                <w:bCs/>
                <w:color w:val="000000"/>
                <w:sz w:val="20"/>
                <w:szCs w:val="20"/>
              </w:rPr>
            </w:pPr>
            <w:r>
              <w:rPr>
                <w:rFonts w:ascii="Arial" w:hAnsi="Arial" w:cs="Arial"/>
                <w:b/>
                <w:bCs/>
                <w:color w:val="000000"/>
                <w:sz w:val="20"/>
                <w:szCs w:val="20"/>
              </w:rPr>
              <w:t>Rate of Interest Subvention to Lending Institutions</w:t>
            </w:r>
          </w:p>
        </w:tc>
      </w:tr>
      <w:tr w:rsidR="00642494" w:rsidTr="007E4525">
        <w:trPr>
          <w:trHeight w:val="141"/>
          <w:jc w:val="center"/>
        </w:trPr>
        <w:tc>
          <w:tcPr>
            <w:tcW w:w="873" w:type="pct"/>
            <w:tcMar>
              <w:top w:w="0" w:type="dxa"/>
              <w:left w:w="45" w:type="dxa"/>
              <w:bottom w:w="0" w:type="dxa"/>
              <w:right w:w="45" w:type="dxa"/>
            </w:tcMar>
            <w:vAlign w:val="center"/>
            <w:hideMark/>
          </w:tcPr>
          <w:p w:rsidR="00642494" w:rsidRDefault="00642494" w:rsidP="007E4525">
            <w:pPr>
              <w:jc w:val="center"/>
              <w:rPr>
                <w:rFonts w:ascii="Arial" w:hAnsi="Arial" w:cs="Arial"/>
                <w:color w:val="000000"/>
                <w:sz w:val="20"/>
                <w:szCs w:val="20"/>
              </w:rPr>
            </w:pPr>
            <w:r>
              <w:rPr>
                <w:rFonts w:ascii="Arial" w:hAnsi="Arial" w:cs="Arial"/>
                <w:color w:val="000000"/>
                <w:sz w:val="20"/>
                <w:szCs w:val="20"/>
              </w:rPr>
              <w:t>2022-23</w:t>
            </w:r>
          </w:p>
        </w:tc>
        <w:tc>
          <w:tcPr>
            <w:tcW w:w="1352" w:type="pct"/>
            <w:tcMar>
              <w:top w:w="0" w:type="dxa"/>
              <w:left w:w="45" w:type="dxa"/>
              <w:bottom w:w="0" w:type="dxa"/>
              <w:right w:w="45" w:type="dxa"/>
            </w:tcMar>
            <w:vAlign w:val="center"/>
            <w:hideMark/>
          </w:tcPr>
          <w:p w:rsidR="00642494" w:rsidRDefault="00642494" w:rsidP="007E4525">
            <w:pPr>
              <w:jc w:val="center"/>
              <w:rPr>
                <w:rFonts w:ascii="Arial" w:hAnsi="Arial" w:cs="Arial"/>
                <w:color w:val="000000"/>
                <w:sz w:val="20"/>
                <w:szCs w:val="20"/>
              </w:rPr>
            </w:pPr>
            <w:r>
              <w:rPr>
                <w:rFonts w:ascii="Arial" w:hAnsi="Arial" w:cs="Arial"/>
                <w:color w:val="000000"/>
                <w:sz w:val="20"/>
                <w:szCs w:val="20"/>
              </w:rPr>
              <w:t>7%</w:t>
            </w:r>
          </w:p>
        </w:tc>
        <w:tc>
          <w:tcPr>
            <w:tcW w:w="2775" w:type="pct"/>
            <w:tcMar>
              <w:top w:w="0" w:type="dxa"/>
              <w:left w:w="45" w:type="dxa"/>
              <w:bottom w:w="0" w:type="dxa"/>
              <w:right w:w="45" w:type="dxa"/>
            </w:tcMar>
            <w:vAlign w:val="center"/>
            <w:hideMark/>
          </w:tcPr>
          <w:p w:rsidR="00642494" w:rsidRDefault="00642494" w:rsidP="007E4525">
            <w:pPr>
              <w:jc w:val="center"/>
              <w:rPr>
                <w:rFonts w:ascii="Arial" w:hAnsi="Arial" w:cs="Arial"/>
                <w:color w:val="000000"/>
                <w:sz w:val="20"/>
                <w:szCs w:val="20"/>
              </w:rPr>
            </w:pPr>
            <w:r>
              <w:rPr>
                <w:rFonts w:ascii="Arial" w:hAnsi="Arial" w:cs="Arial"/>
                <w:color w:val="000000"/>
                <w:sz w:val="20"/>
                <w:szCs w:val="20"/>
              </w:rPr>
              <w:t>1.50%</w:t>
            </w:r>
          </w:p>
        </w:tc>
      </w:tr>
      <w:tr w:rsidR="00642494" w:rsidTr="007E4525">
        <w:trPr>
          <w:trHeight w:val="202"/>
          <w:jc w:val="center"/>
        </w:trPr>
        <w:tc>
          <w:tcPr>
            <w:tcW w:w="873" w:type="pct"/>
            <w:tcMar>
              <w:top w:w="0" w:type="dxa"/>
              <w:left w:w="45" w:type="dxa"/>
              <w:bottom w:w="0" w:type="dxa"/>
              <w:right w:w="45" w:type="dxa"/>
            </w:tcMar>
            <w:vAlign w:val="center"/>
            <w:hideMark/>
          </w:tcPr>
          <w:p w:rsidR="00642494" w:rsidRDefault="00642494" w:rsidP="007E4525">
            <w:pPr>
              <w:jc w:val="center"/>
              <w:rPr>
                <w:rFonts w:ascii="Arial" w:hAnsi="Arial" w:cs="Arial"/>
                <w:color w:val="000000"/>
                <w:sz w:val="20"/>
                <w:szCs w:val="20"/>
              </w:rPr>
            </w:pPr>
            <w:r>
              <w:rPr>
                <w:rFonts w:ascii="Arial" w:hAnsi="Arial" w:cs="Arial"/>
                <w:color w:val="000000"/>
                <w:sz w:val="20"/>
                <w:szCs w:val="20"/>
              </w:rPr>
              <w:t>2023-24</w:t>
            </w:r>
          </w:p>
        </w:tc>
        <w:tc>
          <w:tcPr>
            <w:tcW w:w="1352" w:type="pct"/>
            <w:tcMar>
              <w:top w:w="0" w:type="dxa"/>
              <w:left w:w="45" w:type="dxa"/>
              <w:bottom w:w="0" w:type="dxa"/>
              <w:right w:w="45" w:type="dxa"/>
            </w:tcMar>
            <w:vAlign w:val="center"/>
            <w:hideMark/>
          </w:tcPr>
          <w:p w:rsidR="00642494" w:rsidRDefault="00642494" w:rsidP="007E4525">
            <w:pPr>
              <w:jc w:val="center"/>
              <w:rPr>
                <w:rFonts w:ascii="Arial" w:hAnsi="Arial" w:cs="Arial"/>
                <w:color w:val="000000"/>
                <w:sz w:val="20"/>
                <w:szCs w:val="20"/>
              </w:rPr>
            </w:pPr>
            <w:r>
              <w:rPr>
                <w:rFonts w:ascii="Arial" w:hAnsi="Arial" w:cs="Arial"/>
                <w:color w:val="000000"/>
                <w:sz w:val="20"/>
                <w:szCs w:val="20"/>
              </w:rPr>
              <w:t>7%</w:t>
            </w:r>
          </w:p>
        </w:tc>
        <w:tc>
          <w:tcPr>
            <w:tcW w:w="2775" w:type="pct"/>
            <w:tcMar>
              <w:top w:w="0" w:type="dxa"/>
              <w:left w:w="45" w:type="dxa"/>
              <w:bottom w:w="0" w:type="dxa"/>
              <w:right w:w="45" w:type="dxa"/>
            </w:tcMar>
            <w:vAlign w:val="center"/>
            <w:hideMark/>
          </w:tcPr>
          <w:p w:rsidR="00642494" w:rsidRDefault="00642494" w:rsidP="007E4525">
            <w:pPr>
              <w:jc w:val="center"/>
              <w:rPr>
                <w:rFonts w:ascii="Arial" w:hAnsi="Arial" w:cs="Arial"/>
                <w:color w:val="000000"/>
                <w:sz w:val="20"/>
                <w:szCs w:val="20"/>
              </w:rPr>
            </w:pPr>
            <w:r>
              <w:rPr>
                <w:rFonts w:ascii="Arial" w:hAnsi="Arial" w:cs="Arial"/>
                <w:color w:val="000000"/>
                <w:sz w:val="20"/>
                <w:szCs w:val="20"/>
              </w:rPr>
              <w:t>1.50%</w:t>
            </w:r>
          </w:p>
        </w:tc>
      </w:tr>
    </w:tbl>
    <w:p w:rsidR="00642494" w:rsidRDefault="00642494" w:rsidP="00642494">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642494" w:rsidRDefault="00642494" w:rsidP="00642494">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Nisha</w:t>
      </w:r>
      <w:proofErr w:type="spellEnd"/>
      <w:r>
        <w:rPr>
          <w:rFonts w:ascii="Arial" w:hAnsi="Arial" w:cs="Arial"/>
          <w:color w:val="000000"/>
          <w:sz w:val="20"/>
          <w:szCs w:val="20"/>
        </w:rPr>
        <w:t xml:space="preserve"> </w:t>
      </w:r>
      <w:proofErr w:type="spellStart"/>
      <w:r>
        <w:rPr>
          <w:rFonts w:ascii="Arial" w:hAnsi="Arial" w:cs="Arial"/>
          <w:color w:val="000000"/>
          <w:sz w:val="20"/>
          <w:szCs w:val="20"/>
        </w:rPr>
        <w:t>Nambiar</w:t>
      </w:r>
      <w:proofErr w:type="spellEnd"/>
      <w:r>
        <w:rPr>
          <w:rFonts w:ascii="Arial" w:hAnsi="Arial" w:cs="Arial"/>
          <w:color w:val="000000"/>
          <w:sz w:val="20"/>
          <w:szCs w:val="20"/>
        </w:rPr>
        <w:t>)</w:t>
      </w:r>
      <w:r>
        <w:rPr>
          <w:rFonts w:ascii="Arial" w:hAnsi="Arial" w:cs="Arial"/>
          <w:color w:val="000000"/>
          <w:sz w:val="20"/>
          <w:szCs w:val="20"/>
        </w:rPr>
        <w:br/>
        <w:t>Chief General Manager</w:t>
      </w:r>
    </w:p>
    <w:p w:rsidR="00642494" w:rsidRDefault="00642494" w:rsidP="00642494">
      <w:pPr>
        <w:pStyle w:val="NormalWeb"/>
        <w:rPr>
          <w:rFonts w:ascii="Arial" w:hAnsi="Arial" w:cs="Arial"/>
          <w:b/>
          <w:color w:val="000000"/>
          <w:sz w:val="20"/>
          <w:szCs w:val="20"/>
        </w:rPr>
      </w:pPr>
    </w:p>
    <w:p w:rsidR="00642494" w:rsidRDefault="00642494" w:rsidP="00642494">
      <w:pPr>
        <w:pStyle w:val="NormalWeb"/>
        <w:rPr>
          <w:rFonts w:ascii="Arial" w:hAnsi="Arial" w:cs="Arial"/>
          <w:b/>
          <w:color w:val="000000"/>
          <w:sz w:val="20"/>
          <w:szCs w:val="20"/>
        </w:rPr>
      </w:pPr>
    </w:p>
    <w:p w:rsidR="00642494" w:rsidRDefault="00642494" w:rsidP="00642494">
      <w:r>
        <w:t>More details can be referred to in the below link.</w:t>
      </w:r>
    </w:p>
    <w:p w:rsidR="00642494" w:rsidRDefault="00642494" w:rsidP="00642494">
      <w:pPr>
        <w:spacing w:line="259" w:lineRule="auto"/>
        <w:rPr>
          <w:rStyle w:val="Hyperlink"/>
          <w:rFonts w:ascii="Arial" w:hAnsi="Arial" w:cs="Arial"/>
          <w:bCs/>
          <w:sz w:val="20"/>
          <w:szCs w:val="20"/>
        </w:rPr>
      </w:pPr>
      <w:r>
        <w:rPr>
          <w:rFonts w:ascii="Arial" w:hAnsi="Arial" w:cs="Arial"/>
          <w:bCs/>
          <w:color w:val="000000"/>
          <w:sz w:val="20"/>
          <w:szCs w:val="20"/>
        </w:rPr>
        <w:t xml:space="preserve">Reference Link: </w:t>
      </w:r>
      <w:hyperlink r:id="rId25" w:history="1">
        <w:r w:rsidRPr="006865D6">
          <w:rPr>
            <w:rStyle w:val="Hyperlink"/>
            <w:rFonts w:ascii="Arial" w:hAnsi="Arial" w:cs="Arial"/>
            <w:bCs/>
            <w:sz w:val="20"/>
            <w:szCs w:val="20"/>
          </w:rPr>
          <w:t>https://www.rbi.org.in/scripts/NotificationUser.aspx?Id=12411&amp;Mode=0</w:t>
        </w:r>
      </w:hyperlink>
    </w:p>
    <w:p w:rsidR="00642494" w:rsidRDefault="00642494" w:rsidP="00642494">
      <w:pPr>
        <w:pStyle w:val="NormalWeb"/>
        <w:rPr>
          <w:rFonts w:ascii="Arial" w:hAnsi="Arial" w:cs="Arial"/>
          <w:b/>
          <w:bCs/>
          <w:color w:val="000000"/>
          <w:sz w:val="20"/>
          <w:szCs w:val="20"/>
        </w:rPr>
      </w:pPr>
      <w:r>
        <w:rPr>
          <w:rFonts w:ascii="Arial" w:hAnsi="Arial" w:cs="Arial"/>
          <w:b/>
          <w:bCs/>
          <w:color w:val="000000"/>
          <w:sz w:val="20"/>
          <w:szCs w:val="20"/>
        </w:rPr>
        <w:lastRenderedPageBreak/>
        <w:t>Inclusion of Goods and Service Tax Network (GSTN) as a Financial Information Provider under Account Aggregator Framework</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RBI/2022-23/140</w:t>
      </w:r>
      <w:r>
        <w:rPr>
          <w:rFonts w:ascii="Arial" w:hAnsi="Arial" w:cs="Arial"/>
          <w:color w:val="000000"/>
          <w:sz w:val="20"/>
          <w:szCs w:val="20"/>
        </w:rPr>
        <w:br/>
        <w:t>DoR.FIN.REC.82/03.10.123/2022-23</w:t>
      </w:r>
    </w:p>
    <w:p w:rsidR="00642494" w:rsidRDefault="00642494" w:rsidP="00642494">
      <w:pPr>
        <w:pStyle w:val="NormalWeb"/>
        <w:jc w:val="right"/>
        <w:rPr>
          <w:rFonts w:ascii="Arial" w:hAnsi="Arial" w:cs="Arial"/>
          <w:color w:val="000000"/>
          <w:sz w:val="20"/>
          <w:szCs w:val="20"/>
        </w:rPr>
      </w:pPr>
      <w:r>
        <w:rPr>
          <w:rFonts w:ascii="Arial" w:hAnsi="Arial" w:cs="Arial"/>
          <w:color w:val="000000"/>
          <w:sz w:val="20"/>
          <w:szCs w:val="20"/>
        </w:rPr>
        <w:t>November 23, 2022</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To All Regulated Entities of the Bank</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Madam/Dear Sir,</w:t>
      </w:r>
    </w:p>
    <w:p w:rsidR="00642494" w:rsidRDefault="00642494" w:rsidP="00642494">
      <w:pPr>
        <w:pStyle w:val="head"/>
        <w:jc w:val="both"/>
        <w:rPr>
          <w:rFonts w:ascii="Arial" w:hAnsi="Arial" w:cs="Arial"/>
          <w:b/>
          <w:bCs/>
          <w:color w:val="000000"/>
          <w:sz w:val="20"/>
          <w:szCs w:val="20"/>
        </w:rPr>
      </w:pPr>
      <w:r>
        <w:rPr>
          <w:rFonts w:ascii="Arial" w:hAnsi="Arial" w:cs="Arial"/>
          <w:b/>
          <w:bCs/>
          <w:color w:val="000000"/>
          <w:sz w:val="20"/>
          <w:szCs w:val="20"/>
        </w:rPr>
        <w:t>Inclusion of Goods and Service Tax Network (GSTN) as a Financial Information Provider under Account Aggregator Framework</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26" w:tgtFrame="_blank" w:history="1">
        <w:r>
          <w:rPr>
            <w:rStyle w:val="Hyperlink"/>
            <w:rFonts w:ascii="Arial" w:hAnsi="Arial" w:cs="Arial"/>
            <w:sz w:val="20"/>
            <w:szCs w:val="20"/>
          </w:rPr>
          <w:t>Master Direction – Non-Banking Financial Company - Account Aggregator (Reserve Bank) Directions, 2016 dated September 02, 2016</w:t>
        </w:r>
      </w:hyperlink>
      <w:r>
        <w:rPr>
          <w:rFonts w:ascii="Arial" w:hAnsi="Arial" w:cs="Arial"/>
          <w:color w:val="000000"/>
          <w:sz w:val="20"/>
          <w:szCs w:val="20"/>
        </w:rPr>
        <w:t>.</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2. With a view to facilitate cash flow-based lending to MSMEs, it has been decided to include Goods and Services Tax Network (GSTN) as a Financial Information Provider (FIP) under the Account Aggregator (AA) framework. Department of Revenue shall be the regulator of GSTN for this specific purpose and Goods and Services Tax (GST) Returns, viz. Form GSTR-1 and Form GSTR-3B, shall be the Financial Information.</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3. Accordingly, the select instructions contained in the Master Direction referred to above have been amended, as detailed in the </w:t>
      </w:r>
      <w:hyperlink r:id="rId27" w:anchor="AN1" w:history="1">
        <w:r>
          <w:rPr>
            <w:rStyle w:val="Hyperlink"/>
            <w:rFonts w:ascii="Arial" w:hAnsi="Arial" w:cs="Arial"/>
            <w:sz w:val="20"/>
            <w:szCs w:val="20"/>
          </w:rPr>
          <w:t>Annex</w:t>
        </w:r>
      </w:hyperlink>
      <w:r>
        <w:rPr>
          <w:rFonts w:ascii="Arial" w:hAnsi="Arial" w:cs="Arial"/>
          <w:color w:val="000000"/>
          <w:sz w:val="20"/>
          <w:szCs w:val="20"/>
        </w:rPr>
        <w:t>.</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Yours faithfully,</w:t>
      </w:r>
    </w:p>
    <w:p w:rsidR="00642494" w:rsidRDefault="00642494" w:rsidP="00642494">
      <w:pPr>
        <w:pStyle w:val="NormalWeb"/>
        <w:rPr>
          <w:rFonts w:ascii="Arial" w:hAnsi="Arial" w:cs="Arial"/>
          <w:color w:val="000000"/>
          <w:sz w:val="20"/>
          <w:szCs w:val="20"/>
        </w:rPr>
      </w:pPr>
      <w:r>
        <w:rPr>
          <w:rFonts w:ascii="Arial" w:hAnsi="Arial" w:cs="Arial"/>
          <w:color w:val="000000"/>
          <w:sz w:val="20"/>
          <w:szCs w:val="20"/>
        </w:rPr>
        <w:t>(J.P. Sharma)</w:t>
      </w:r>
      <w:r>
        <w:rPr>
          <w:rFonts w:ascii="Arial" w:hAnsi="Arial" w:cs="Arial"/>
          <w:color w:val="000000"/>
          <w:sz w:val="20"/>
          <w:szCs w:val="20"/>
        </w:rPr>
        <w:br/>
        <w:t>Chief General Manager</w:t>
      </w:r>
    </w:p>
    <w:p w:rsidR="00642494" w:rsidRDefault="00642494" w:rsidP="00642494">
      <w:pPr>
        <w:pStyle w:val="NormalWeb"/>
        <w:rPr>
          <w:rFonts w:ascii="Arial" w:hAnsi="Arial" w:cs="Arial"/>
          <w:b/>
          <w:color w:val="000000"/>
          <w:sz w:val="20"/>
          <w:szCs w:val="20"/>
        </w:rPr>
      </w:pPr>
    </w:p>
    <w:p w:rsidR="00642494" w:rsidRDefault="00642494" w:rsidP="00642494"/>
    <w:p w:rsidR="00642494" w:rsidRDefault="00642494" w:rsidP="00642494">
      <w:r>
        <w:t>More details can be referred to in the below link.</w:t>
      </w:r>
    </w:p>
    <w:p w:rsidR="00642494" w:rsidRDefault="00642494" w:rsidP="00642494">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8" w:history="1">
        <w:r w:rsidRPr="006865D6">
          <w:rPr>
            <w:rStyle w:val="Hyperlink"/>
            <w:rFonts w:ascii="Arial" w:hAnsi="Arial" w:cs="Arial"/>
            <w:bCs/>
            <w:sz w:val="20"/>
            <w:szCs w:val="20"/>
          </w:rPr>
          <w:t>https://www.rbi.org.in/scripts/NotificationUser.aspx?Id=12412&amp;Mode=0</w:t>
        </w:r>
      </w:hyperlink>
    </w:p>
    <w:p w:rsidR="00642494" w:rsidRDefault="00642494" w:rsidP="00642494">
      <w:pPr>
        <w:pStyle w:val="NormalWeb"/>
        <w:rPr>
          <w:rFonts w:ascii="Arial" w:hAnsi="Arial" w:cs="Arial"/>
          <w:bCs/>
          <w:color w:val="000000"/>
          <w:sz w:val="20"/>
          <w:szCs w:val="20"/>
        </w:rPr>
      </w:pPr>
    </w:p>
    <w:p w:rsidR="00642494" w:rsidRDefault="00642494" w:rsidP="00642494">
      <w:pPr>
        <w:pStyle w:val="NormalWeb"/>
        <w:rPr>
          <w:rFonts w:ascii="Arial" w:hAnsi="Arial" w:cs="Arial"/>
          <w:bCs/>
          <w:color w:val="000000"/>
          <w:sz w:val="20"/>
          <w:szCs w:val="20"/>
        </w:rPr>
      </w:pPr>
    </w:p>
    <w:p w:rsidR="00642494" w:rsidRDefault="00642494" w:rsidP="00642494">
      <w:pPr>
        <w:pStyle w:val="NormalWeb"/>
        <w:rPr>
          <w:rFonts w:ascii="Arial" w:hAnsi="Arial" w:cs="Arial"/>
          <w:bCs/>
          <w:color w:val="000000"/>
          <w:sz w:val="20"/>
          <w:szCs w:val="20"/>
        </w:rPr>
      </w:pPr>
    </w:p>
    <w:p w:rsidR="00642494" w:rsidRDefault="00642494" w:rsidP="00642494">
      <w:pPr>
        <w:pStyle w:val="NormalWeb"/>
        <w:rPr>
          <w:rFonts w:ascii="Arial" w:hAnsi="Arial" w:cs="Arial"/>
          <w:bCs/>
          <w:color w:val="000000"/>
          <w:sz w:val="20"/>
          <w:szCs w:val="20"/>
        </w:rPr>
      </w:pPr>
    </w:p>
    <w:p w:rsidR="00642494" w:rsidRDefault="00642494" w:rsidP="00642494">
      <w:pPr>
        <w:pStyle w:val="NormalWeb"/>
        <w:rPr>
          <w:rFonts w:ascii="Arial" w:hAnsi="Arial" w:cs="Arial"/>
          <w:bCs/>
          <w:color w:val="000000"/>
          <w:sz w:val="20"/>
          <w:szCs w:val="20"/>
        </w:rPr>
      </w:pPr>
    </w:p>
    <w:p w:rsidR="00642494" w:rsidRDefault="00642494" w:rsidP="00642494">
      <w:pPr>
        <w:pStyle w:val="NormalWeb"/>
        <w:rPr>
          <w:rFonts w:ascii="Arial" w:hAnsi="Arial" w:cs="Arial"/>
          <w:bCs/>
          <w:color w:val="000000"/>
          <w:sz w:val="20"/>
          <w:szCs w:val="20"/>
        </w:rPr>
      </w:pPr>
    </w:p>
    <w:p w:rsidR="00642494" w:rsidRDefault="00642494" w:rsidP="00642494">
      <w:pPr>
        <w:pStyle w:val="NormalWeb"/>
        <w:rPr>
          <w:rFonts w:ascii="Arial" w:hAnsi="Arial" w:cs="Arial"/>
          <w:bCs/>
          <w:color w:val="000000"/>
          <w:sz w:val="20"/>
          <w:szCs w:val="20"/>
        </w:rPr>
      </w:pPr>
    </w:p>
    <w:p w:rsidR="00642494" w:rsidRDefault="00642494" w:rsidP="00642494">
      <w:pPr>
        <w:pStyle w:val="NormalWeb"/>
        <w:rPr>
          <w:rFonts w:ascii="Arial" w:hAnsi="Arial" w:cs="Arial"/>
          <w:bCs/>
          <w:color w:val="000000"/>
          <w:sz w:val="20"/>
          <w:szCs w:val="20"/>
        </w:rPr>
      </w:pPr>
    </w:p>
    <w:p w:rsidR="00642494" w:rsidRDefault="00642494" w:rsidP="00642494">
      <w:pPr>
        <w:spacing w:after="0"/>
        <w:rPr>
          <w:rFonts w:ascii="Arial" w:hAnsi="Arial" w:cs="Arial"/>
          <w:b/>
          <w:bCs/>
          <w:color w:val="000000"/>
          <w:sz w:val="20"/>
          <w:szCs w:val="20"/>
        </w:rPr>
      </w:pPr>
      <w:r>
        <w:rPr>
          <w:rFonts w:ascii="Arial" w:hAnsi="Arial" w:cs="Arial"/>
          <w:b/>
          <w:bCs/>
          <w:color w:val="000000"/>
          <w:sz w:val="20"/>
          <w:szCs w:val="20"/>
        </w:rPr>
        <w:lastRenderedPageBreak/>
        <w:t>Data Format for Furnishing of Credit Information to Credit Information Companies and other Regulatory Measures</w:t>
      </w:r>
    </w:p>
    <w:p w:rsidR="00642494" w:rsidRDefault="00642494" w:rsidP="00642494">
      <w:pPr>
        <w:spacing w:after="0"/>
        <w:rPr>
          <w:rFonts w:ascii="Arial" w:hAnsi="Arial" w:cs="Arial"/>
          <w:b/>
          <w:bCs/>
          <w:color w:val="000000"/>
          <w:sz w:val="20"/>
          <w:szCs w:val="20"/>
        </w:rPr>
      </w:pP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RBI/2022-23/154</w:t>
      </w:r>
      <w:r>
        <w:rPr>
          <w:rFonts w:ascii="Arial" w:hAnsi="Arial" w:cs="Arial"/>
          <w:color w:val="000000"/>
          <w:sz w:val="20"/>
          <w:szCs w:val="20"/>
        </w:rPr>
        <w:br/>
        <w:t>DoR.FIN.REC.90/20.16.056/2022-23</w:t>
      </w:r>
    </w:p>
    <w:p w:rsidR="00642494" w:rsidRDefault="00642494" w:rsidP="00642494">
      <w:pPr>
        <w:pStyle w:val="NormalWeb"/>
        <w:jc w:val="right"/>
        <w:rPr>
          <w:rFonts w:ascii="Arial" w:hAnsi="Arial" w:cs="Arial"/>
          <w:color w:val="000000"/>
          <w:sz w:val="20"/>
          <w:szCs w:val="20"/>
        </w:rPr>
      </w:pPr>
      <w:r>
        <w:rPr>
          <w:rFonts w:ascii="Arial" w:hAnsi="Arial" w:cs="Arial"/>
          <w:color w:val="000000"/>
          <w:sz w:val="20"/>
          <w:szCs w:val="20"/>
        </w:rPr>
        <w:t>December 13, 2022</w:t>
      </w:r>
    </w:p>
    <w:p w:rsidR="00642494" w:rsidRDefault="00642494" w:rsidP="00642494">
      <w:pPr>
        <w:pStyle w:val="NormalWeb"/>
        <w:rPr>
          <w:rFonts w:ascii="Arial" w:hAnsi="Arial" w:cs="Arial"/>
          <w:color w:val="000000"/>
          <w:sz w:val="20"/>
          <w:szCs w:val="20"/>
        </w:rPr>
      </w:pPr>
      <w:r>
        <w:rPr>
          <w:rFonts w:ascii="Arial" w:hAnsi="Arial" w:cs="Arial"/>
          <w:color w:val="000000"/>
          <w:sz w:val="20"/>
          <w:szCs w:val="20"/>
        </w:rPr>
        <w:t>All Commercial Banks (including Small Finance Banks, Local Area Banks and Regional Rural Banks)</w:t>
      </w:r>
      <w:r>
        <w:rPr>
          <w:rFonts w:ascii="Arial" w:hAnsi="Arial" w:cs="Arial"/>
          <w:color w:val="000000"/>
          <w:sz w:val="20"/>
          <w:szCs w:val="20"/>
        </w:rPr>
        <w:br/>
        <w:t>All Primary (Urban) Co-operative Banks/State Co-operative Banks/District Central Co-operative Banks</w:t>
      </w:r>
      <w:r>
        <w:rPr>
          <w:rFonts w:ascii="Arial" w:hAnsi="Arial" w:cs="Arial"/>
          <w:color w:val="000000"/>
          <w:sz w:val="20"/>
          <w:szCs w:val="20"/>
        </w:rPr>
        <w:br/>
        <w:t xml:space="preserve">All-India Financial Institutions (Exim Bank, NABARD, NHB, SIDBI and </w:t>
      </w:r>
      <w:proofErr w:type="spellStart"/>
      <w:r>
        <w:rPr>
          <w:rFonts w:ascii="Arial" w:hAnsi="Arial" w:cs="Arial"/>
          <w:color w:val="000000"/>
          <w:sz w:val="20"/>
          <w:szCs w:val="20"/>
        </w:rPr>
        <w:t>NaBFID</w:t>
      </w:r>
      <w:proofErr w:type="spellEnd"/>
      <w:r>
        <w:rPr>
          <w:rFonts w:ascii="Arial" w:hAnsi="Arial" w:cs="Arial"/>
          <w:color w:val="000000"/>
          <w:sz w:val="20"/>
          <w:szCs w:val="20"/>
        </w:rPr>
        <w:t>)</w:t>
      </w:r>
      <w:r>
        <w:rPr>
          <w:rFonts w:ascii="Arial" w:hAnsi="Arial" w:cs="Arial"/>
          <w:color w:val="000000"/>
          <w:sz w:val="20"/>
          <w:szCs w:val="20"/>
        </w:rPr>
        <w:br/>
        <w:t>All Non-Banking Financial Companies (including Housing Finance Companies)</w:t>
      </w:r>
      <w:r>
        <w:rPr>
          <w:rFonts w:ascii="Arial" w:hAnsi="Arial" w:cs="Arial"/>
          <w:color w:val="000000"/>
          <w:sz w:val="20"/>
          <w:szCs w:val="20"/>
        </w:rPr>
        <w:br/>
        <w:t>All Credit Information Companies</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Madam/Dear Sir,</w:t>
      </w:r>
    </w:p>
    <w:p w:rsidR="00642494" w:rsidRDefault="00642494" w:rsidP="00642494">
      <w:pPr>
        <w:pStyle w:val="head"/>
        <w:jc w:val="both"/>
        <w:rPr>
          <w:rFonts w:ascii="Arial" w:hAnsi="Arial" w:cs="Arial"/>
          <w:b/>
          <w:bCs/>
          <w:color w:val="000000"/>
          <w:sz w:val="20"/>
          <w:szCs w:val="20"/>
        </w:rPr>
      </w:pPr>
      <w:r>
        <w:rPr>
          <w:rFonts w:ascii="Arial" w:hAnsi="Arial" w:cs="Arial"/>
          <w:b/>
          <w:bCs/>
          <w:color w:val="000000"/>
          <w:sz w:val="20"/>
          <w:szCs w:val="20"/>
        </w:rPr>
        <w:t>Data Format for Furnishing of Credit Information to Credit Information Companies and other Regulatory Measures</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29" w:tgtFrame="_blank" w:history="1">
        <w:r>
          <w:rPr>
            <w:rStyle w:val="Hyperlink"/>
            <w:rFonts w:ascii="Arial" w:hAnsi="Arial" w:cs="Arial"/>
            <w:sz w:val="20"/>
            <w:szCs w:val="20"/>
          </w:rPr>
          <w:t>circular DBOD.No.CID.BC.127/20.16.056/2013-14 dated June 27, 2014</w:t>
        </w:r>
      </w:hyperlink>
      <w:r>
        <w:rPr>
          <w:rFonts w:ascii="Arial" w:hAnsi="Arial" w:cs="Arial"/>
          <w:color w:val="000000"/>
          <w:sz w:val="20"/>
          <w:szCs w:val="20"/>
        </w:rPr>
        <w:t>, inter alia setting out a Uniform Credit Reporting Format for reporting credit information to the Credit Information Companies (CICs).</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2. It is clarified that cases admitted with National Company Law Tribunal (NCLT)/National Company Law Appellate Tribunal (NCLAT) under the Insolvency and Bankruptcy Code, 2016 are also required to be reported under the suit-filed cases in reporting to the CICs.</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3. Credit Institutions (CIs) shall ensure implementation of this circular latest by February 28, 2023.</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Yours faithfully</w:t>
      </w:r>
    </w:p>
    <w:p w:rsidR="00642494" w:rsidRDefault="00642494" w:rsidP="00642494">
      <w:pPr>
        <w:pStyle w:val="NormalWeb"/>
        <w:rPr>
          <w:rFonts w:ascii="Arial" w:hAnsi="Arial" w:cs="Arial"/>
          <w:color w:val="000000"/>
          <w:sz w:val="20"/>
          <w:szCs w:val="20"/>
        </w:rPr>
      </w:pPr>
      <w:r>
        <w:rPr>
          <w:rFonts w:ascii="Arial" w:hAnsi="Arial" w:cs="Arial"/>
          <w:color w:val="000000"/>
          <w:sz w:val="20"/>
          <w:szCs w:val="20"/>
        </w:rPr>
        <w:t>(J.P. Sharma)</w:t>
      </w:r>
      <w:r>
        <w:rPr>
          <w:rFonts w:ascii="Arial" w:hAnsi="Arial" w:cs="Arial"/>
          <w:color w:val="000000"/>
          <w:sz w:val="20"/>
          <w:szCs w:val="20"/>
        </w:rPr>
        <w:br/>
        <w:t>Chief General Manager</w:t>
      </w:r>
    </w:p>
    <w:p w:rsidR="00642494" w:rsidRDefault="00642494" w:rsidP="00642494">
      <w:pPr>
        <w:spacing w:after="0"/>
        <w:rPr>
          <w:rFonts w:ascii="Arial" w:hAnsi="Arial" w:cs="Arial"/>
          <w:sz w:val="20"/>
          <w:szCs w:val="20"/>
        </w:rPr>
      </w:pPr>
    </w:p>
    <w:p w:rsidR="00642494" w:rsidRDefault="00642494" w:rsidP="00642494">
      <w:pPr>
        <w:spacing w:after="0"/>
        <w:rPr>
          <w:rFonts w:ascii="Arial" w:hAnsi="Arial" w:cs="Arial"/>
          <w:sz w:val="20"/>
          <w:szCs w:val="20"/>
        </w:rPr>
      </w:pPr>
    </w:p>
    <w:p w:rsidR="00642494" w:rsidRDefault="00642494" w:rsidP="00642494">
      <w:pPr>
        <w:spacing w:after="0"/>
        <w:rPr>
          <w:rFonts w:ascii="Arial" w:hAnsi="Arial" w:cs="Arial"/>
          <w:sz w:val="20"/>
          <w:szCs w:val="20"/>
        </w:rPr>
      </w:pPr>
    </w:p>
    <w:p w:rsidR="00642494" w:rsidRDefault="00642494" w:rsidP="00642494">
      <w:pPr>
        <w:spacing w:after="0"/>
        <w:rPr>
          <w:rFonts w:ascii="Arial" w:hAnsi="Arial" w:cs="Arial"/>
          <w:sz w:val="20"/>
          <w:szCs w:val="20"/>
        </w:rPr>
      </w:pPr>
      <w:r w:rsidRPr="00435B25">
        <w:rPr>
          <w:rFonts w:ascii="Arial" w:hAnsi="Arial" w:cs="Arial"/>
          <w:sz w:val="20"/>
          <w:szCs w:val="20"/>
        </w:rPr>
        <w:t>More details can be referred to in the below link.</w:t>
      </w:r>
    </w:p>
    <w:p w:rsidR="00642494" w:rsidRDefault="00642494" w:rsidP="00642494">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30" w:history="1">
        <w:r w:rsidRPr="006865D6">
          <w:rPr>
            <w:rStyle w:val="Hyperlink"/>
            <w:rFonts w:ascii="Arial" w:hAnsi="Arial" w:cs="Arial"/>
            <w:sz w:val="20"/>
            <w:szCs w:val="20"/>
          </w:rPr>
          <w:t>https://m.rbi.org.in/scripts/BS_CircularIndexDisplay.aspx?Id=12425</w:t>
        </w:r>
      </w:hyperlink>
    </w:p>
    <w:p w:rsidR="00642494" w:rsidRDefault="00642494" w:rsidP="00642494">
      <w:pPr>
        <w:spacing w:line="259" w:lineRule="auto"/>
        <w:rPr>
          <w:rFonts w:ascii="Arial" w:hAnsi="Arial" w:cs="Arial"/>
          <w:b/>
          <w:bCs/>
          <w:color w:val="000000"/>
          <w:sz w:val="20"/>
          <w:szCs w:val="20"/>
        </w:rPr>
      </w:pPr>
    </w:p>
    <w:p w:rsidR="00642494" w:rsidRDefault="00642494" w:rsidP="00642494">
      <w:pPr>
        <w:spacing w:line="259" w:lineRule="auto"/>
        <w:rPr>
          <w:rFonts w:ascii="Arial" w:hAnsi="Arial" w:cs="Arial"/>
          <w:b/>
          <w:bCs/>
          <w:color w:val="000000"/>
          <w:sz w:val="20"/>
          <w:szCs w:val="20"/>
        </w:rPr>
      </w:pPr>
    </w:p>
    <w:p w:rsidR="00642494" w:rsidRDefault="00642494" w:rsidP="00642494">
      <w:pPr>
        <w:spacing w:line="259" w:lineRule="auto"/>
        <w:rPr>
          <w:rFonts w:ascii="Arial" w:hAnsi="Arial" w:cs="Arial"/>
          <w:b/>
          <w:bCs/>
          <w:color w:val="000000"/>
          <w:sz w:val="20"/>
          <w:szCs w:val="20"/>
        </w:rPr>
      </w:pPr>
    </w:p>
    <w:p w:rsidR="00642494" w:rsidRDefault="00642494" w:rsidP="00642494">
      <w:pPr>
        <w:spacing w:line="259" w:lineRule="auto"/>
        <w:rPr>
          <w:rFonts w:ascii="Arial" w:hAnsi="Arial" w:cs="Arial"/>
          <w:b/>
          <w:bCs/>
          <w:color w:val="000000"/>
          <w:sz w:val="20"/>
          <w:szCs w:val="20"/>
        </w:rPr>
      </w:pPr>
    </w:p>
    <w:p w:rsidR="00642494" w:rsidRDefault="00642494" w:rsidP="00642494">
      <w:pPr>
        <w:spacing w:line="259" w:lineRule="auto"/>
        <w:rPr>
          <w:rFonts w:ascii="Arial" w:hAnsi="Arial" w:cs="Arial"/>
          <w:b/>
          <w:bCs/>
          <w:color w:val="000000"/>
          <w:sz w:val="20"/>
          <w:szCs w:val="20"/>
        </w:rPr>
      </w:pPr>
    </w:p>
    <w:p w:rsidR="00642494" w:rsidRDefault="00642494" w:rsidP="00642494">
      <w:pPr>
        <w:spacing w:line="259" w:lineRule="auto"/>
        <w:rPr>
          <w:rFonts w:ascii="Arial" w:hAnsi="Arial" w:cs="Arial"/>
          <w:b/>
          <w:bCs/>
          <w:color w:val="000000"/>
          <w:sz w:val="20"/>
          <w:szCs w:val="20"/>
        </w:rPr>
      </w:pPr>
    </w:p>
    <w:p w:rsidR="00642494" w:rsidRDefault="00642494" w:rsidP="00642494">
      <w:pPr>
        <w:spacing w:line="259" w:lineRule="auto"/>
        <w:rPr>
          <w:rFonts w:ascii="Arial" w:hAnsi="Arial" w:cs="Arial"/>
          <w:b/>
          <w:bCs/>
          <w:color w:val="000000"/>
          <w:sz w:val="20"/>
          <w:szCs w:val="20"/>
        </w:rPr>
      </w:pPr>
    </w:p>
    <w:p w:rsidR="00642494" w:rsidRDefault="00642494" w:rsidP="00642494">
      <w:pPr>
        <w:spacing w:line="259" w:lineRule="auto"/>
        <w:rPr>
          <w:rFonts w:ascii="Arial" w:hAnsi="Arial" w:cs="Arial"/>
          <w:b/>
          <w:bCs/>
          <w:color w:val="000000"/>
          <w:sz w:val="20"/>
          <w:szCs w:val="20"/>
        </w:rPr>
      </w:pPr>
    </w:p>
    <w:p w:rsidR="00642494" w:rsidRDefault="00642494" w:rsidP="00642494">
      <w:pPr>
        <w:spacing w:line="259" w:lineRule="auto"/>
        <w:rPr>
          <w:rFonts w:ascii="Arial" w:hAnsi="Arial" w:cs="Arial"/>
          <w:b/>
          <w:bCs/>
          <w:color w:val="000000"/>
          <w:sz w:val="20"/>
          <w:szCs w:val="20"/>
        </w:rPr>
      </w:pPr>
      <w:bookmarkStart w:id="0" w:name="_GoBack"/>
      <w:bookmarkEnd w:id="0"/>
    </w:p>
    <w:sectPr w:rsidR="006424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AB1"/>
    <w:multiLevelType w:val="multilevel"/>
    <w:tmpl w:val="3684EE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15C588F"/>
    <w:multiLevelType w:val="multilevel"/>
    <w:tmpl w:val="4B72A3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8E025F9"/>
    <w:multiLevelType w:val="multilevel"/>
    <w:tmpl w:val="E3108F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DEE1848"/>
    <w:multiLevelType w:val="multilevel"/>
    <w:tmpl w:val="7EFE66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FC2351A"/>
    <w:multiLevelType w:val="multilevel"/>
    <w:tmpl w:val="D392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91410"/>
    <w:multiLevelType w:val="multilevel"/>
    <w:tmpl w:val="C6E82E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1BF0048"/>
    <w:multiLevelType w:val="multilevel"/>
    <w:tmpl w:val="D9B0B3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2B1550F"/>
    <w:multiLevelType w:val="multilevel"/>
    <w:tmpl w:val="AECA1D5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61F68F3"/>
    <w:multiLevelType w:val="multilevel"/>
    <w:tmpl w:val="203890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C1460AC"/>
    <w:multiLevelType w:val="multilevel"/>
    <w:tmpl w:val="F77ABC2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1E3167B8"/>
    <w:multiLevelType w:val="multilevel"/>
    <w:tmpl w:val="96ACE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EDC1B6B"/>
    <w:multiLevelType w:val="multilevel"/>
    <w:tmpl w:val="421C98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0824147"/>
    <w:multiLevelType w:val="multilevel"/>
    <w:tmpl w:val="EFB0C5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2E110C"/>
    <w:multiLevelType w:val="multilevel"/>
    <w:tmpl w:val="5B24EE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9090732"/>
    <w:multiLevelType w:val="multilevel"/>
    <w:tmpl w:val="5AA4B4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29D33C14"/>
    <w:multiLevelType w:val="multilevel"/>
    <w:tmpl w:val="3B1E554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2B826247"/>
    <w:multiLevelType w:val="multilevel"/>
    <w:tmpl w:val="12EAFD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3109580A"/>
    <w:multiLevelType w:val="multilevel"/>
    <w:tmpl w:val="9086F5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1925B4C"/>
    <w:multiLevelType w:val="multilevel"/>
    <w:tmpl w:val="9E0CA3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334A636F"/>
    <w:multiLevelType w:val="multilevel"/>
    <w:tmpl w:val="AAA05F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357D4582"/>
    <w:multiLevelType w:val="multilevel"/>
    <w:tmpl w:val="94005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62A33A4"/>
    <w:multiLevelType w:val="multilevel"/>
    <w:tmpl w:val="BBD456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3D1C0D25"/>
    <w:multiLevelType w:val="multilevel"/>
    <w:tmpl w:val="E26E2F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15:restartNumberingAfterBreak="0">
    <w:nsid w:val="3F2418FB"/>
    <w:multiLevelType w:val="multilevel"/>
    <w:tmpl w:val="0C0A29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33C2382"/>
    <w:multiLevelType w:val="multilevel"/>
    <w:tmpl w:val="E708D8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4F8E310F"/>
    <w:multiLevelType w:val="multilevel"/>
    <w:tmpl w:val="7B2CB7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05E7C06"/>
    <w:multiLevelType w:val="multilevel"/>
    <w:tmpl w:val="8592D6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1EE5FA6"/>
    <w:multiLevelType w:val="multilevel"/>
    <w:tmpl w:val="36EEA8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8" w15:restartNumberingAfterBreak="0">
    <w:nsid w:val="59AC63D0"/>
    <w:multiLevelType w:val="hybridMultilevel"/>
    <w:tmpl w:val="01961D3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15:restartNumberingAfterBreak="0">
    <w:nsid w:val="5A00010F"/>
    <w:multiLevelType w:val="multilevel"/>
    <w:tmpl w:val="A72CC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C79498A"/>
    <w:multiLevelType w:val="multilevel"/>
    <w:tmpl w:val="EF8429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D2B74A0"/>
    <w:multiLevelType w:val="multilevel"/>
    <w:tmpl w:val="F9CA65CC"/>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32" w15:restartNumberingAfterBreak="0">
    <w:nsid w:val="5D333C26"/>
    <w:multiLevelType w:val="multilevel"/>
    <w:tmpl w:val="9CA4C1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3" w15:restartNumberingAfterBreak="0">
    <w:nsid w:val="63D114ED"/>
    <w:multiLevelType w:val="multilevel"/>
    <w:tmpl w:val="123617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4E15E3A"/>
    <w:multiLevelType w:val="multilevel"/>
    <w:tmpl w:val="495A5F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6A6B539B"/>
    <w:multiLevelType w:val="multilevel"/>
    <w:tmpl w:val="53BE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FC2A94"/>
    <w:multiLevelType w:val="multilevel"/>
    <w:tmpl w:val="3808D5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B077D3E"/>
    <w:multiLevelType w:val="multilevel"/>
    <w:tmpl w:val="18D60F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31"/>
  </w:num>
  <w:num w:numId="7">
    <w:abstractNumId w:val="25"/>
  </w:num>
  <w:num w:numId="8">
    <w:abstractNumId w:val="2"/>
  </w:num>
  <w:num w:numId="9">
    <w:abstractNumId w:val="1"/>
  </w:num>
  <w:num w:numId="10">
    <w:abstractNumId w:val="19"/>
  </w:num>
  <w:num w:numId="11">
    <w:abstractNumId w:val="16"/>
  </w:num>
  <w:num w:numId="12">
    <w:abstractNumId w:val="3"/>
  </w:num>
  <w:num w:numId="13">
    <w:abstractNumId w:val="14"/>
  </w:num>
  <w:num w:numId="14">
    <w:abstractNumId w:val="24"/>
  </w:num>
  <w:num w:numId="15">
    <w:abstractNumId w:val="34"/>
  </w:num>
  <w:num w:numId="16">
    <w:abstractNumId w:val="5"/>
  </w:num>
  <w:num w:numId="17">
    <w:abstractNumId w:val="21"/>
  </w:num>
  <w:num w:numId="18">
    <w:abstractNumId w:val="13"/>
  </w:num>
  <w:num w:numId="19">
    <w:abstractNumId w:val="12"/>
  </w:num>
  <w:num w:numId="20">
    <w:abstractNumId w:val="20"/>
  </w:num>
  <w:num w:numId="21">
    <w:abstractNumId w:val="11"/>
  </w:num>
  <w:num w:numId="22">
    <w:abstractNumId w:val="29"/>
  </w:num>
  <w:num w:numId="23">
    <w:abstractNumId w:val="9"/>
  </w:num>
  <w:num w:numId="24">
    <w:abstractNumId w:val="18"/>
  </w:num>
  <w:num w:numId="25">
    <w:abstractNumId w:val="7"/>
  </w:num>
  <w:num w:numId="26">
    <w:abstractNumId w:val="26"/>
  </w:num>
  <w:num w:numId="27">
    <w:abstractNumId w:val="6"/>
  </w:num>
  <w:num w:numId="28">
    <w:abstractNumId w:val="23"/>
  </w:num>
  <w:num w:numId="29">
    <w:abstractNumId w:val="10"/>
  </w:num>
  <w:num w:numId="30">
    <w:abstractNumId w:val="30"/>
  </w:num>
  <w:num w:numId="31">
    <w:abstractNumId w:val="33"/>
  </w:num>
  <w:num w:numId="32">
    <w:abstractNumId w:val="17"/>
  </w:num>
  <w:num w:numId="33">
    <w:abstractNumId w:val="8"/>
  </w:num>
  <w:num w:numId="34">
    <w:abstractNumId w:val="4"/>
  </w:num>
  <w:num w:numId="35">
    <w:abstractNumId w:val="35"/>
  </w:num>
  <w:num w:numId="36">
    <w:abstractNumId w:val="15"/>
  </w:num>
  <w:num w:numId="37">
    <w:abstractNumId w:val="37"/>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E6D"/>
    <w:rsid w:val="00006E6D"/>
    <w:rsid w:val="0001134A"/>
    <w:rsid w:val="00047CD5"/>
    <w:rsid w:val="00066AD4"/>
    <w:rsid w:val="00083374"/>
    <w:rsid w:val="000B4DC2"/>
    <w:rsid w:val="000F6CB6"/>
    <w:rsid w:val="00121B22"/>
    <w:rsid w:val="00147837"/>
    <w:rsid w:val="00155008"/>
    <w:rsid w:val="00166E3C"/>
    <w:rsid w:val="00172136"/>
    <w:rsid w:val="001B0D06"/>
    <w:rsid w:val="001E7AD4"/>
    <w:rsid w:val="001F219E"/>
    <w:rsid w:val="00213882"/>
    <w:rsid w:val="00230EAC"/>
    <w:rsid w:val="002313C4"/>
    <w:rsid w:val="00245B30"/>
    <w:rsid w:val="002A3764"/>
    <w:rsid w:val="002C55B6"/>
    <w:rsid w:val="00435B25"/>
    <w:rsid w:val="00436D36"/>
    <w:rsid w:val="0045114B"/>
    <w:rsid w:val="00494F1F"/>
    <w:rsid w:val="004D6B44"/>
    <w:rsid w:val="004E718A"/>
    <w:rsid w:val="005748AD"/>
    <w:rsid w:val="00581BDE"/>
    <w:rsid w:val="00583041"/>
    <w:rsid w:val="005A38FC"/>
    <w:rsid w:val="005D5DB2"/>
    <w:rsid w:val="00642494"/>
    <w:rsid w:val="00645D84"/>
    <w:rsid w:val="0068363E"/>
    <w:rsid w:val="006C5648"/>
    <w:rsid w:val="00706A14"/>
    <w:rsid w:val="00744532"/>
    <w:rsid w:val="008462A3"/>
    <w:rsid w:val="0085415B"/>
    <w:rsid w:val="00911528"/>
    <w:rsid w:val="00912551"/>
    <w:rsid w:val="009126BF"/>
    <w:rsid w:val="009B54D0"/>
    <w:rsid w:val="009F305B"/>
    <w:rsid w:val="00A32EAB"/>
    <w:rsid w:val="00A410BB"/>
    <w:rsid w:val="00A76041"/>
    <w:rsid w:val="00B1420D"/>
    <w:rsid w:val="00B46998"/>
    <w:rsid w:val="00B517AF"/>
    <w:rsid w:val="00B71788"/>
    <w:rsid w:val="00BD01D5"/>
    <w:rsid w:val="00BF2165"/>
    <w:rsid w:val="00C109D0"/>
    <w:rsid w:val="00C460A2"/>
    <w:rsid w:val="00C754F7"/>
    <w:rsid w:val="00C8671B"/>
    <w:rsid w:val="00C93B49"/>
    <w:rsid w:val="00CE14AF"/>
    <w:rsid w:val="00CF0868"/>
    <w:rsid w:val="00CF340B"/>
    <w:rsid w:val="00D24841"/>
    <w:rsid w:val="00DB76CD"/>
    <w:rsid w:val="00DD4E02"/>
    <w:rsid w:val="00DE227F"/>
    <w:rsid w:val="00DE6119"/>
    <w:rsid w:val="00E0459A"/>
    <w:rsid w:val="00E047EF"/>
    <w:rsid w:val="00E65289"/>
    <w:rsid w:val="00EC5CE1"/>
    <w:rsid w:val="00EC7DEE"/>
    <w:rsid w:val="00F6094D"/>
    <w:rsid w:val="00FB37E8"/>
    <w:rsid w:val="00FB49BF"/>
    <w:rsid w:val="00FE15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995FA"/>
  <w15:chartTrackingRefBased/>
  <w15:docId w15:val="{237EF2D5-A44F-4913-B195-C42A7C64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16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165"/>
    <w:rPr>
      <w:color w:val="0000FF"/>
      <w:u w:val="single"/>
    </w:rPr>
  </w:style>
  <w:style w:type="paragraph" w:styleId="NormalWeb">
    <w:name w:val="Normal (Web)"/>
    <w:basedOn w:val="Normal"/>
    <w:uiPriority w:val="99"/>
    <w:unhideWhenUsed/>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F2165"/>
    <w:pPr>
      <w:ind w:left="720"/>
      <w:contextualSpacing/>
    </w:pPr>
  </w:style>
  <w:style w:type="paragraph" w:customStyle="1" w:styleId="head">
    <w:name w:val="head"/>
    <w:basedOn w:val="Normal"/>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BF21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1">
    <w:name w:val="head1"/>
    <w:basedOn w:val="DefaultParagraphFont"/>
    <w:rsid w:val="001E7AD4"/>
  </w:style>
  <w:style w:type="paragraph" w:styleId="NoSpacing">
    <w:name w:val="No Spacing"/>
    <w:uiPriority w:val="1"/>
    <w:qFormat/>
    <w:rsid w:val="000F6C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7898">
      <w:bodyDiv w:val="1"/>
      <w:marLeft w:val="0"/>
      <w:marRight w:val="0"/>
      <w:marTop w:val="0"/>
      <w:marBottom w:val="0"/>
      <w:divBdr>
        <w:top w:val="none" w:sz="0" w:space="0" w:color="auto"/>
        <w:left w:val="none" w:sz="0" w:space="0" w:color="auto"/>
        <w:bottom w:val="none" w:sz="0" w:space="0" w:color="auto"/>
        <w:right w:val="none" w:sz="0" w:space="0" w:color="auto"/>
      </w:divBdr>
    </w:div>
    <w:div w:id="23943418">
      <w:bodyDiv w:val="1"/>
      <w:marLeft w:val="0"/>
      <w:marRight w:val="0"/>
      <w:marTop w:val="0"/>
      <w:marBottom w:val="0"/>
      <w:divBdr>
        <w:top w:val="none" w:sz="0" w:space="0" w:color="auto"/>
        <w:left w:val="none" w:sz="0" w:space="0" w:color="auto"/>
        <w:bottom w:val="none" w:sz="0" w:space="0" w:color="auto"/>
        <w:right w:val="none" w:sz="0" w:space="0" w:color="auto"/>
      </w:divBdr>
    </w:div>
    <w:div w:id="55249740">
      <w:bodyDiv w:val="1"/>
      <w:marLeft w:val="0"/>
      <w:marRight w:val="0"/>
      <w:marTop w:val="0"/>
      <w:marBottom w:val="0"/>
      <w:divBdr>
        <w:top w:val="none" w:sz="0" w:space="0" w:color="auto"/>
        <w:left w:val="none" w:sz="0" w:space="0" w:color="auto"/>
        <w:bottom w:val="none" w:sz="0" w:space="0" w:color="auto"/>
        <w:right w:val="none" w:sz="0" w:space="0" w:color="auto"/>
      </w:divBdr>
    </w:div>
    <w:div w:id="76169910">
      <w:bodyDiv w:val="1"/>
      <w:marLeft w:val="0"/>
      <w:marRight w:val="0"/>
      <w:marTop w:val="0"/>
      <w:marBottom w:val="0"/>
      <w:divBdr>
        <w:top w:val="none" w:sz="0" w:space="0" w:color="auto"/>
        <w:left w:val="none" w:sz="0" w:space="0" w:color="auto"/>
        <w:bottom w:val="none" w:sz="0" w:space="0" w:color="auto"/>
        <w:right w:val="none" w:sz="0" w:space="0" w:color="auto"/>
      </w:divBdr>
    </w:div>
    <w:div w:id="123080276">
      <w:bodyDiv w:val="1"/>
      <w:marLeft w:val="0"/>
      <w:marRight w:val="0"/>
      <w:marTop w:val="0"/>
      <w:marBottom w:val="0"/>
      <w:divBdr>
        <w:top w:val="none" w:sz="0" w:space="0" w:color="auto"/>
        <w:left w:val="none" w:sz="0" w:space="0" w:color="auto"/>
        <w:bottom w:val="none" w:sz="0" w:space="0" w:color="auto"/>
        <w:right w:val="none" w:sz="0" w:space="0" w:color="auto"/>
      </w:divBdr>
    </w:div>
    <w:div w:id="139806540">
      <w:bodyDiv w:val="1"/>
      <w:marLeft w:val="0"/>
      <w:marRight w:val="0"/>
      <w:marTop w:val="0"/>
      <w:marBottom w:val="0"/>
      <w:divBdr>
        <w:top w:val="none" w:sz="0" w:space="0" w:color="auto"/>
        <w:left w:val="none" w:sz="0" w:space="0" w:color="auto"/>
        <w:bottom w:val="none" w:sz="0" w:space="0" w:color="auto"/>
        <w:right w:val="none" w:sz="0" w:space="0" w:color="auto"/>
      </w:divBdr>
    </w:div>
    <w:div w:id="164829666">
      <w:bodyDiv w:val="1"/>
      <w:marLeft w:val="0"/>
      <w:marRight w:val="0"/>
      <w:marTop w:val="0"/>
      <w:marBottom w:val="0"/>
      <w:divBdr>
        <w:top w:val="none" w:sz="0" w:space="0" w:color="auto"/>
        <w:left w:val="none" w:sz="0" w:space="0" w:color="auto"/>
        <w:bottom w:val="none" w:sz="0" w:space="0" w:color="auto"/>
        <w:right w:val="none" w:sz="0" w:space="0" w:color="auto"/>
      </w:divBdr>
    </w:div>
    <w:div w:id="174346286">
      <w:bodyDiv w:val="1"/>
      <w:marLeft w:val="0"/>
      <w:marRight w:val="0"/>
      <w:marTop w:val="0"/>
      <w:marBottom w:val="0"/>
      <w:divBdr>
        <w:top w:val="none" w:sz="0" w:space="0" w:color="auto"/>
        <w:left w:val="none" w:sz="0" w:space="0" w:color="auto"/>
        <w:bottom w:val="none" w:sz="0" w:space="0" w:color="auto"/>
        <w:right w:val="none" w:sz="0" w:space="0" w:color="auto"/>
      </w:divBdr>
    </w:div>
    <w:div w:id="205606727">
      <w:bodyDiv w:val="1"/>
      <w:marLeft w:val="0"/>
      <w:marRight w:val="0"/>
      <w:marTop w:val="0"/>
      <w:marBottom w:val="0"/>
      <w:divBdr>
        <w:top w:val="none" w:sz="0" w:space="0" w:color="auto"/>
        <w:left w:val="none" w:sz="0" w:space="0" w:color="auto"/>
        <w:bottom w:val="none" w:sz="0" w:space="0" w:color="auto"/>
        <w:right w:val="none" w:sz="0" w:space="0" w:color="auto"/>
      </w:divBdr>
    </w:div>
    <w:div w:id="214238029">
      <w:bodyDiv w:val="1"/>
      <w:marLeft w:val="0"/>
      <w:marRight w:val="0"/>
      <w:marTop w:val="0"/>
      <w:marBottom w:val="0"/>
      <w:divBdr>
        <w:top w:val="none" w:sz="0" w:space="0" w:color="auto"/>
        <w:left w:val="none" w:sz="0" w:space="0" w:color="auto"/>
        <w:bottom w:val="none" w:sz="0" w:space="0" w:color="auto"/>
        <w:right w:val="none" w:sz="0" w:space="0" w:color="auto"/>
      </w:divBdr>
    </w:div>
    <w:div w:id="219559157">
      <w:bodyDiv w:val="1"/>
      <w:marLeft w:val="0"/>
      <w:marRight w:val="0"/>
      <w:marTop w:val="0"/>
      <w:marBottom w:val="0"/>
      <w:divBdr>
        <w:top w:val="none" w:sz="0" w:space="0" w:color="auto"/>
        <w:left w:val="none" w:sz="0" w:space="0" w:color="auto"/>
        <w:bottom w:val="none" w:sz="0" w:space="0" w:color="auto"/>
        <w:right w:val="none" w:sz="0" w:space="0" w:color="auto"/>
      </w:divBdr>
    </w:div>
    <w:div w:id="252277237">
      <w:bodyDiv w:val="1"/>
      <w:marLeft w:val="0"/>
      <w:marRight w:val="0"/>
      <w:marTop w:val="0"/>
      <w:marBottom w:val="0"/>
      <w:divBdr>
        <w:top w:val="none" w:sz="0" w:space="0" w:color="auto"/>
        <w:left w:val="none" w:sz="0" w:space="0" w:color="auto"/>
        <w:bottom w:val="none" w:sz="0" w:space="0" w:color="auto"/>
        <w:right w:val="none" w:sz="0" w:space="0" w:color="auto"/>
      </w:divBdr>
    </w:div>
    <w:div w:id="253173397">
      <w:bodyDiv w:val="1"/>
      <w:marLeft w:val="0"/>
      <w:marRight w:val="0"/>
      <w:marTop w:val="0"/>
      <w:marBottom w:val="0"/>
      <w:divBdr>
        <w:top w:val="none" w:sz="0" w:space="0" w:color="auto"/>
        <w:left w:val="none" w:sz="0" w:space="0" w:color="auto"/>
        <w:bottom w:val="none" w:sz="0" w:space="0" w:color="auto"/>
        <w:right w:val="none" w:sz="0" w:space="0" w:color="auto"/>
      </w:divBdr>
    </w:div>
    <w:div w:id="267391404">
      <w:bodyDiv w:val="1"/>
      <w:marLeft w:val="0"/>
      <w:marRight w:val="0"/>
      <w:marTop w:val="0"/>
      <w:marBottom w:val="0"/>
      <w:divBdr>
        <w:top w:val="none" w:sz="0" w:space="0" w:color="auto"/>
        <w:left w:val="none" w:sz="0" w:space="0" w:color="auto"/>
        <w:bottom w:val="none" w:sz="0" w:space="0" w:color="auto"/>
        <w:right w:val="none" w:sz="0" w:space="0" w:color="auto"/>
      </w:divBdr>
    </w:div>
    <w:div w:id="281427548">
      <w:bodyDiv w:val="1"/>
      <w:marLeft w:val="0"/>
      <w:marRight w:val="0"/>
      <w:marTop w:val="0"/>
      <w:marBottom w:val="0"/>
      <w:divBdr>
        <w:top w:val="none" w:sz="0" w:space="0" w:color="auto"/>
        <w:left w:val="none" w:sz="0" w:space="0" w:color="auto"/>
        <w:bottom w:val="none" w:sz="0" w:space="0" w:color="auto"/>
        <w:right w:val="none" w:sz="0" w:space="0" w:color="auto"/>
      </w:divBdr>
    </w:div>
    <w:div w:id="290094693">
      <w:bodyDiv w:val="1"/>
      <w:marLeft w:val="0"/>
      <w:marRight w:val="0"/>
      <w:marTop w:val="0"/>
      <w:marBottom w:val="0"/>
      <w:divBdr>
        <w:top w:val="none" w:sz="0" w:space="0" w:color="auto"/>
        <w:left w:val="none" w:sz="0" w:space="0" w:color="auto"/>
        <w:bottom w:val="none" w:sz="0" w:space="0" w:color="auto"/>
        <w:right w:val="none" w:sz="0" w:space="0" w:color="auto"/>
      </w:divBdr>
    </w:div>
    <w:div w:id="299111546">
      <w:bodyDiv w:val="1"/>
      <w:marLeft w:val="0"/>
      <w:marRight w:val="0"/>
      <w:marTop w:val="0"/>
      <w:marBottom w:val="0"/>
      <w:divBdr>
        <w:top w:val="none" w:sz="0" w:space="0" w:color="auto"/>
        <w:left w:val="none" w:sz="0" w:space="0" w:color="auto"/>
        <w:bottom w:val="none" w:sz="0" w:space="0" w:color="auto"/>
        <w:right w:val="none" w:sz="0" w:space="0" w:color="auto"/>
      </w:divBdr>
    </w:div>
    <w:div w:id="307518933">
      <w:bodyDiv w:val="1"/>
      <w:marLeft w:val="0"/>
      <w:marRight w:val="0"/>
      <w:marTop w:val="0"/>
      <w:marBottom w:val="0"/>
      <w:divBdr>
        <w:top w:val="none" w:sz="0" w:space="0" w:color="auto"/>
        <w:left w:val="none" w:sz="0" w:space="0" w:color="auto"/>
        <w:bottom w:val="none" w:sz="0" w:space="0" w:color="auto"/>
        <w:right w:val="none" w:sz="0" w:space="0" w:color="auto"/>
      </w:divBdr>
    </w:div>
    <w:div w:id="334571405">
      <w:bodyDiv w:val="1"/>
      <w:marLeft w:val="0"/>
      <w:marRight w:val="0"/>
      <w:marTop w:val="0"/>
      <w:marBottom w:val="0"/>
      <w:divBdr>
        <w:top w:val="none" w:sz="0" w:space="0" w:color="auto"/>
        <w:left w:val="none" w:sz="0" w:space="0" w:color="auto"/>
        <w:bottom w:val="none" w:sz="0" w:space="0" w:color="auto"/>
        <w:right w:val="none" w:sz="0" w:space="0" w:color="auto"/>
      </w:divBdr>
    </w:div>
    <w:div w:id="337461665">
      <w:bodyDiv w:val="1"/>
      <w:marLeft w:val="0"/>
      <w:marRight w:val="0"/>
      <w:marTop w:val="0"/>
      <w:marBottom w:val="0"/>
      <w:divBdr>
        <w:top w:val="none" w:sz="0" w:space="0" w:color="auto"/>
        <w:left w:val="none" w:sz="0" w:space="0" w:color="auto"/>
        <w:bottom w:val="none" w:sz="0" w:space="0" w:color="auto"/>
        <w:right w:val="none" w:sz="0" w:space="0" w:color="auto"/>
      </w:divBdr>
    </w:div>
    <w:div w:id="339429337">
      <w:bodyDiv w:val="1"/>
      <w:marLeft w:val="0"/>
      <w:marRight w:val="0"/>
      <w:marTop w:val="0"/>
      <w:marBottom w:val="0"/>
      <w:divBdr>
        <w:top w:val="none" w:sz="0" w:space="0" w:color="auto"/>
        <w:left w:val="none" w:sz="0" w:space="0" w:color="auto"/>
        <w:bottom w:val="none" w:sz="0" w:space="0" w:color="auto"/>
        <w:right w:val="none" w:sz="0" w:space="0" w:color="auto"/>
      </w:divBdr>
    </w:div>
    <w:div w:id="345520195">
      <w:bodyDiv w:val="1"/>
      <w:marLeft w:val="0"/>
      <w:marRight w:val="0"/>
      <w:marTop w:val="0"/>
      <w:marBottom w:val="0"/>
      <w:divBdr>
        <w:top w:val="none" w:sz="0" w:space="0" w:color="auto"/>
        <w:left w:val="none" w:sz="0" w:space="0" w:color="auto"/>
        <w:bottom w:val="none" w:sz="0" w:space="0" w:color="auto"/>
        <w:right w:val="none" w:sz="0" w:space="0" w:color="auto"/>
      </w:divBdr>
    </w:div>
    <w:div w:id="354187200">
      <w:bodyDiv w:val="1"/>
      <w:marLeft w:val="0"/>
      <w:marRight w:val="0"/>
      <w:marTop w:val="0"/>
      <w:marBottom w:val="0"/>
      <w:divBdr>
        <w:top w:val="none" w:sz="0" w:space="0" w:color="auto"/>
        <w:left w:val="none" w:sz="0" w:space="0" w:color="auto"/>
        <w:bottom w:val="none" w:sz="0" w:space="0" w:color="auto"/>
        <w:right w:val="none" w:sz="0" w:space="0" w:color="auto"/>
      </w:divBdr>
    </w:div>
    <w:div w:id="442192026">
      <w:bodyDiv w:val="1"/>
      <w:marLeft w:val="0"/>
      <w:marRight w:val="0"/>
      <w:marTop w:val="0"/>
      <w:marBottom w:val="0"/>
      <w:divBdr>
        <w:top w:val="none" w:sz="0" w:space="0" w:color="auto"/>
        <w:left w:val="none" w:sz="0" w:space="0" w:color="auto"/>
        <w:bottom w:val="none" w:sz="0" w:space="0" w:color="auto"/>
        <w:right w:val="none" w:sz="0" w:space="0" w:color="auto"/>
      </w:divBdr>
    </w:div>
    <w:div w:id="454494659">
      <w:bodyDiv w:val="1"/>
      <w:marLeft w:val="0"/>
      <w:marRight w:val="0"/>
      <w:marTop w:val="0"/>
      <w:marBottom w:val="0"/>
      <w:divBdr>
        <w:top w:val="none" w:sz="0" w:space="0" w:color="auto"/>
        <w:left w:val="none" w:sz="0" w:space="0" w:color="auto"/>
        <w:bottom w:val="none" w:sz="0" w:space="0" w:color="auto"/>
        <w:right w:val="none" w:sz="0" w:space="0" w:color="auto"/>
      </w:divBdr>
    </w:div>
    <w:div w:id="460149896">
      <w:bodyDiv w:val="1"/>
      <w:marLeft w:val="0"/>
      <w:marRight w:val="0"/>
      <w:marTop w:val="0"/>
      <w:marBottom w:val="0"/>
      <w:divBdr>
        <w:top w:val="none" w:sz="0" w:space="0" w:color="auto"/>
        <w:left w:val="none" w:sz="0" w:space="0" w:color="auto"/>
        <w:bottom w:val="none" w:sz="0" w:space="0" w:color="auto"/>
        <w:right w:val="none" w:sz="0" w:space="0" w:color="auto"/>
      </w:divBdr>
    </w:div>
    <w:div w:id="502595600">
      <w:bodyDiv w:val="1"/>
      <w:marLeft w:val="0"/>
      <w:marRight w:val="0"/>
      <w:marTop w:val="0"/>
      <w:marBottom w:val="0"/>
      <w:divBdr>
        <w:top w:val="none" w:sz="0" w:space="0" w:color="auto"/>
        <w:left w:val="none" w:sz="0" w:space="0" w:color="auto"/>
        <w:bottom w:val="none" w:sz="0" w:space="0" w:color="auto"/>
        <w:right w:val="none" w:sz="0" w:space="0" w:color="auto"/>
      </w:divBdr>
    </w:div>
    <w:div w:id="504511713">
      <w:bodyDiv w:val="1"/>
      <w:marLeft w:val="0"/>
      <w:marRight w:val="0"/>
      <w:marTop w:val="0"/>
      <w:marBottom w:val="0"/>
      <w:divBdr>
        <w:top w:val="none" w:sz="0" w:space="0" w:color="auto"/>
        <w:left w:val="none" w:sz="0" w:space="0" w:color="auto"/>
        <w:bottom w:val="none" w:sz="0" w:space="0" w:color="auto"/>
        <w:right w:val="none" w:sz="0" w:space="0" w:color="auto"/>
      </w:divBdr>
    </w:div>
    <w:div w:id="514805698">
      <w:bodyDiv w:val="1"/>
      <w:marLeft w:val="0"/>
      <w:marRight w:val="0"/>
      <w:marTop w:val="0"/>
      <w:marBottom w:val="0"/>
      <w:divBdr>
        <w:top w:val="none" w:sz="0" w:space="0" w:color="auto"/>
        <w:left w:val="none" w:sz="0" w:space="0" w:color="auto"/>
        <w:bottom w:val="none" w:sz="0" w:space="0" w:color="auto"/>
        <w:right w:val="none" w:sz="0" w:space="0" w:color="auto"/>
      </w:divBdr>
    </w:div>
    <w:div w:id="534197464">
      <w:bodyDiv w:val="1"/>
      <w:marLeft w:val="0"/>
      <w:marRight w:val="0"/>
      <w:marTop w:val="0"/>
      <w:marBottom w:val="0"/>
      <w:divBdr>
        <w:top w:val="none" w:sz="0" w:space="0" w:color="auto"/>
        <w:left w:val="none" w:sz="0" w:space="0" w:color="auto"/>
        <w:bottom w:val="none" w:sz="0" w:space="0" w:color="auto"/>
        <w:right w:val="none" w:sz="0" w:space="0" w:color="auto"/>
      </w:divBdr>
    </w:div>
    <w:div w:id="556473836">
      <w:bodyDiv w:val="1"/>
      <w:marLeft w:val="0"/>
      <w:marRight w:val="0"/>
      <w:marTop w:val="0"/>
      <w:marBottom w:val="0"/>
      <w:divBdr>
        <w:top w:val="none" w:sz="0" w:space="0" w:color="auto"/>
        <w:left w:val="none" w:sz="0" w:space="0" w:color="auto"/>
        <w:bottom w:val="none" w:sz="0" w:space="0" w:color="auto"/>
        <w:right w:val="none" w:sz="0" w:space="0" w:color="auto"/>
      </w:divBdr>
    </w:div>
    <w:div w:id="562720380">
      <w:bodyDiv w:val="1"/>
      <w:marLeft w:val="0"/>
      <w:marRight w:val="0"/>
      <w:marTop w:val="0"/>
      <w:marBottom w:val="0"/>
      <w:divBdr>
        <w:top w:val="none" w:sz="0" w:space="0" w:color="auto"/>
        <w:left w:val="none" w:sz="0" w:space="0" w:color="auto"/>
        <w:bottom w:val="none" w:sz="0" w:space="0" w:color="auto"/>
        <w:right w:val="none" w:sz="0" w:space="0" w:color="auto"/>
      </w:divBdr>
    </w:div>
    <w:div w:id="565918927">
      <w:bodyDiv w:val="1"/>
      <w:marLeft w:val="0"/>
      <w:marRight w:val="0"/>
      <w:marTop w:val="0"/>
      <w:marBottom w:val="0"/>
      <w:divBdr>
        <w:top w:val="none" w:sz="0" w:space="0" w:color="auto"/>
        <w:left w:val="none" w:sz="0" w:space="0" w:color="auto"/>
        <w:bottom w:val="none" w:sz="0" w:space="0" w:color="auto"/>
        <w:right w:val="none" w:sz="0" w:space="0" w:color="auto"/>
      </w:divBdr>
    </w:div>
    <w:div w:id="567961063">
      <w:bodyDiv w:val="1"/>
      <w:marLeft w:val="0"/>
      <w:marRight w:val="0"/>
      <w:marTop w:val="0"/>
      <w:marBottom w:val="0"/>
      <w:divBdr>
        <w:top w:val="none" w:sz="0" w:space="0" w:color="auto"/>
        <w:left w:val="none" w:sz="0" w:space="0" w:color="auto"/>
        <w:bottom w:val="none" w:sz="0" w:space="0" w:color="auto"/>
        <w:right w:val="none" w:sz="0" w:space="0" w:color="auto"/>
      </w:divBdr>
    </w:div>
    <w:div w:id="587424245">
      <w:bodyDiv w:val="1"/>
      <w:marLeft w:val="0"/>
      <w:marRight w:val="0"/>
      <w:marTop w:val="0"/>
      <w:marBottom w:val="0"/>
      <w:divBdr>
        <w:top w:val="none" w:sz="0" w:space="0" w:color="auto"/>
        <w:left w:val="none" w:sz="0" w:space="0" w:color="auto"/>
        <w:bottom w:val="none" w:sz="0" w:space="0" w:color="auto"/>
        <w:right w:val="none" w:sz="0" w:space="0" w:color="auto"/>
      </w:divBdr>
    </w:div>
    <w:div w:id="631910607">
      <w:bodyDiv w:val="1"/>
      <w:marLeft w:val="0"/>
      <w:marRight w:val="0"/>
      <w:marTop w:val="0"/>
      <w:marBottom w:val="0"/>
      <w:divBdr>
        <w:top w:val="none" w:sz="0" w:space="0" w:color="auto"/>
        <w:left w:val="none" w:sz="0" w:space="0" w:color="auto"/>
        <w:bottom w:val="none" w:sz="0" w:space="0" w:color="auto"/>
        <w:right w:val="none" w:sz="0" w:space="0" w:color="auto"/>
      </w:divBdr>
    </w:div>
    <w:div w:id="632172511">
      <w:bodyDiv w:val="1"/>
      <w:marLeft w:val="0"/>
      <w:marRight w:val="0"/>
      <w:marTop w:val="0"/>
      <w:marBottom w:val="0"/>
      <w:divBdr>
        <w:top w:val="none" w:sz="0" w:space="0" w:color="auto"/>
        <w:left w:val="none" w:sz="0" w:space="0" w:color="auto"/>
        <w:bottom w:val="none" w:sz="0" w:space="0" w:color="auto"/>
        <w:right w:val="none" w:sz="0" w:space="0" w:color="auto"/>
      </w:divBdr>
    </w:div>
    <w:div w:id="638805484">
      <w:bodyDiv w:val="1"/>
      <w:marLeft w:val="0"/>
      <w:marRight w:val="0"/>
      <w:marTop w:val="0"/>
      <w:marBottom w:val="0"/>
      <w:divBdr>
        <w:top w:val="none" w:sz="0" w:space="0" w:color="auto"/>
        <w:left w:val="none" w:sz="0" w:space="0" w:color="auto"/>
        <w:bottom w:val="none" w:sz="0" w:space="0" w:color="auto"/>
        <w:right w:val="none" w:sz="0" w:space="0" w:color="auto"/>
      </w:divBdr>
    </w:div>
    <w:div w:id="639575624">
      <w:bodyDiv w:val="1"/>
      <w:marLeft w:val="0"/>
      <w:marRight w:val="0"/>
      <w:marTop w:val="0"/>
      <w:marBottom w:val="0"/>
      <w:divBdr>
        <w:top w:val="none" w:sz="0" w:space="0" w:color="auto"/>
        <w:left w:val="none" w:sz="0" w:space="0" w:color="auto"/>
        <w:bottom w:val="none" w:sz="0" w:space="0" w:color="auto"/>
        <w:right w:val="none" w:sz="0" w:space="0" w:color="auto"/>
      </w:divBdr>
    </w:div>
    <w:div w:id="652609577">
      <w:bodyDiv w:val="1"/>
      <w:marLeft w:val="0"/>
      <w:marRight w:val="0"/>
      <w:marTop w:val="0"/>
      <w:marBottom w:val="0"/>
      <w:divBdr>
        <w:top w:val="none" w:sz="0" w:space="0" w:color="auto"/>
        <w:left w:val="none" w:sz="0" w:space="0" w:color="auto"/>
        <w:bottom w:val="none" w:sz="0" w:space="0" w:color="auto"/>
        <w:right w:val="none" w:sz="0" w:space="0" w:color="auto"/>
      </w:divBdr>
    </w:div>
    <w:div w:id="656350376">
      <w:bodyDiv w:val="1"/>
      <w:marLeft w:val="0"/>
      <w:marRight w:val="0"/>
      <w:marTop w:val="0"/>
      <w:marBottom w:val="0"/>
      <w:divBdr>
        <w:top w:val="none" w:sz="0" w:space="0" w:color="auto"/>
        <w:left w:val="none" w:sz="0" w:space="0" w:color="auto"/>
        <w:bottom w:val="none" w:sz="0" w:space="0" w:color="auto"/>
        <w:right w:val="none" w:sz="0" w:space="0" w:color="auto"/>
      </w:divBdr>
    </w:div>
    <w:div w:id="657266621">
      <w:bodyDiv w:val="1"/>
      <w:marLeft w:val="0"/>
      <w:marRight w:val="0"/>
      <w:marTop w:val="0"/>
      <w:marBottom w:val="0"/>
      <w:divBdr>
        <w:top w:val="none" w:sz="0" w:space="0" w:color="auto"/>
        <w:left w:val="none" w:sz="0" w:space="0" w:color="auto"/>
        <w:bottom w:val="none" w:sz="0" w:space="0" w:color="auto"/>
        <w:right w:val="none" w:sz="0" w:space="0" w:color="auto"/>
      </w:divBdr>
    </w:div>
    <w:div w:id="661544658">
      <w:bodyDiv w:val="1"/>
      <w:marLeft w:val="0"/>
      <w:marRight w:val="0"/>
      <w:marTop w:val="0"/>
      <w:marBottom w:val="0"/>
      <w:divBdr>
        <w:top w:val="none" w:sz="0" w:space="0" w:color="auto"/>
        <w:left w:val="none" w:sz="0" w:space="0" w:color="auto"/>
        <w:bottom w:val="none" w:sz="0" w:space="0" w:color="auto"/>
        <w:right w:val="none" w:sz="0" w:space="0" w:color="auto"/>
      </w:divBdr>
    </w:div>
    <w:div w:id="674184569">
      <w:bodyDiv w:val="1"/>
      <w:marLeft w:val="0"/>
      <w:marRight w:val="0"/>
      <w:marTop w:val="0"/>
      <w:marBottom w:val="0"/>
      <w:divBdr>
        <w:top w:val="none" w:sz="0" w:space="0" w:color="auto"/>
        <w:left w:val="none" w:sz="0" w:space="0" w:color="auto"/>
        <w:bottom w:val="none" w:sz="0" w:space="0" w:color="auto"/>
        <w:right w:val="none" w:sz="0" w:space="0" w:color="auto"/>
      </w:divBdr>
    </w:div>
    <w:div w:id="697195265">
      <w:bodyDiv w:val="1"/>
      <w:marLeft w:val="0"/>
      <w:marRight w:val="0"/>
      <w:marTop w:val="0"/>
      <w:marBottom w:val="0"/>
      <w:divBdr>
        <w:top w:val="none" w:sz="0" w:space="0" w:color="auto"/>
        <w:left w:val="none" w:sz="0" w:space="0" w:color="auto"/>
        <w:bottom w:val="none" w:sz="0" w:space="0" w:color="auto"/>
        <w:right w:val="none" w:sz="0" w:space="0" w:color="auto"/>
      </w:divBdr>
    </w:div>
    <w:div w:id="713121895">
      <w:bodyDiv w:val="1"/>
      <w:marLeft w:val="0"/>
      <w:marRight w:val="0"/>
      <w:marTop w:val="0"/>
      <w:marBottom w:val="0"/>
      <w:divBdr>
        <w:top w:val="none" w:sz="0" w:space="0" w:color="auto"/>
        <w:left w:val="none" w:sz="0" w:space="0" w:color="auto"/>
        <w:bottom w:val="none" w:sz="0" w:space="0" w:color="auto"/>
        <w:right w:val="none" w:sz="0" w:space="0" w:color="auto"/>
      </w:divBdr>
    </w:div>
    <w:div w:id="715006577">
      <w:bodyDiv w:val="1"/>
      <w:marLeft w:val="0"/>
      <w:marRight w:val="0"/>
      <w:marTop w:val="0"/>
      <w:marBottom w:val="0"/>
      <w:divBdr>
        <w:top w:val="none" w:sz="0" w:space="0" w:color="auto"/>
        <w:left w:val="none" w:sz="0" w:space="0" w:color="auto"/>
        <w:bottom w:val="none" w:sz="0" w:space="0" w:color="auto"/>
        <w:right w:val="none" w:sz="0" w:space="0" w:color="auto"/>
      </w:divBdr>
    </w:div>
    <w:div w:id="720514722">
      <w:bodyDiv w:val="1"/>
      <w:marLeft w:val="0"/>
      <w:marRight w:val="0"/>
      <w:marTop w:val="0"/>
      <w:marBottom w:val="0"/>
      <w:divBdr>
        <w:top w:val="none" w:sz="0" w:space="0" w:color="auto"/>
        <w:left w:val="none" w:sz="0" w:space="0" w:color="auto"/>
        <w:bottom w:val="none" w:sz="0" w:space="0" w:color="auto"/>
        <w:right w:val="none" w:sz="0" w:space="0" w:color="auto"/>
      </w:divBdr>
    </w:div>
    <w:div w:id="735051936">
      <w:bodyDiv w:val="1"/>
      <w:marLeft w:val="0"/>
      <w:marRight w:val="0"/>
      <w:marTop w:val="0"/>
      <w:marBottom w:val="0"/>
      <w:divBdr>
        <w:top w:val="none" w:sz="0" w:space="0" w:color="auto"/>
        <w:left w:val="none" w:sz="0" w:space="0" w:color="auto"/>
        <w:bottom w:val="none" w:sz="0" w:space="0" w:color="auto"/>
        <w:right w:val="none" w:sz="0" w:space="0" w:color="auto"/>
      </w:divBdr>
    </w:div>
    <w:div w:id="753631214">
      <w:bodyDiv w:val="1"/>
      <w:marLeft w:val="0"/>
      <w:marRight w:val="0"/>
      <w:marTop w:val="0"/>
      <w:marBottom w:val="0"/>
      <w:divBdr>
        <w:top w:val="none" w:sz="0" w:space="0" w:color="auto"/>
        <w:left w:val="none" w:sz="0" w:space="0" w:color="auto"/>
        <w:bottom w:val="none" w:sz="0" w:space="0" w:color="auto"/>
        <w:right w:val="none" w:sz="0" w:space="0" w:color="auto"/>
      </w:divBdr>
    </w:div>
    <w:div w:id="761729238">
      <w:bodyDiv w:val="1"/>
      <w:marLeft w:val="0"/>
      <w:marRight w:val="0"/>
      <w:marTop w:val="0"/>
      <w:marBottom w:val="0"/>
      <w:divBdr>
        <w:top w:val="none" w:sz="0" w:space="0" w:color="auto"/>
        <w:left w:val="none" w:sz="0" w:space="0" w:color="auto"/>
        <w:bottom w:val="none" w:sz="0" w:space="0" w:color="auto"/>
        <w:right w:val="none" w:sz="0" w:space="0" w:color="auto"/>
      </w:divBdr>
    </w:div>
    <w:div w:id="765225938">
      <w:bodyDiv w:val="1"/>
      <w:marLeft w:val="0"/>
      <w:marRight w:val="0"/>
      <w:marTop w:val="0"/>
      <w:marBottom w:val="0"/>
      <w:divBdr>
        <w:top w:val="none" w:sz="0" w:space="0" w:color="auto"/>
        <w:left w:val="none" w:sz="0" w:space="0" w:color="auto"/>
        <w:bottom w:val="none" w:sz="0" w:space="0" w:color="auto"/>
        <w:right w:val="none" w:sz="0" w:space="0" w:color="auto"/>
      </w:divBdr>
    </w:div>
    <w:div w:id="770128112">
      <w:bodyDiv w:val="1"/>
      <w:marLeft w:val="0"/>
      <w:marRight w:val="0"/>
      <w:marTop w:val="0"/>
      <w:marBottom w:val="0"/>
      <w:divBdr>
        <w:top w:val="none" w:sz="0" w:space="0" w:color="auto"/>
        <w:left w:val="none" w:sz="0" w:space="0" w:color="auto"/>
        <w:bottom w:val="none" w:sz="0" w:space="0" w:color="auto"/>
        <w:right w:val="none" w:sz="0" w:space="0" w:color="auto"/>
      </w:divBdr>
    </w:div>
    <w:div w:id="787315246">
      <w:bodyDiv w:val="1"/>
      <w:marLeft w:val="0"/>
      <w:marRight w:val="0"/>
      <w:marTop w:val="0"/>
      <w:marBottom w:val="0"/>
      <w:divBdr>
        <w:top w:val="none" w:sz="0" w:space="0" w:color="auto"/>
        <w:left w:val="none" w:sz="0" w:space="0" w:color="auto"/>
        <w:bottom w:val="none" w:sz="0" w:space="0" w:color="auto"/>
        <w:right w:val="none" w:sz="0" w:space="0" w:color="auto"/>
      </w:divBdr>
    </w:div>
    <w:div w:id="832600833">
      <w:bodyDiv w:val="1"/>
      <w:marLeft w:val="0"/>
      <w:marRight w:val="0"/>
      <w:marTop w:val="0"/>
      <w:marBottom w:val="0"/>
      <w:divBdr>
        <w:top w:val="none" w:sz="0" w:space="0" w:color="auto"/>
        <w:left w:val="none" w:sz="0" w:space="0" w:color="auto"/>
        <w:bottom w:val="none" w:sz="0" w:space="0" w:color="auto"/>
        <w:right w:val="none" w:sz="0" w:space="0" w:color="auto"/>
      </w:divBdr>
    </w:div>
    <w:div w:id="837354668">
      <w:bodyDiv w:val="1"/>
      <w:marLeft w:val="0"/>
      <w:marRight w:val="0"/>
      <w:marTop w:val="0"/>
      <w:marBottom w:val="0"/>
      <w:divBdr>
        <w:top w:val="none" w:sz="0" w:space="0" w:color="auto"/>
        <w:left w:val="none" w:sz="0" w:space="0" w:color="auto"/>
        <w:bottom w:val="none" w:sz="0" w:space="0" w:color="auto"/>
        <w:right w:val="none" w:sz="0" w:space="0" w:color="auto"/>
      </w:divBdr>
    </w:div>
    <w:div w:id="837695543">
      <w:bodyDiv w:val="1"/>
      <w:marLeft w:val="0"/>
      <w:marRight w:val="0"/>
      <w:marTop w:val="0"/>
      <w:marBottom w:val="0"/>
      <w:divBdr>
        <w:top w:val="none" w:sz="0" w:space="0" w:color="auto"/>
        <w:left w:val="none" w:sz="0" w:space="0" w:color="auto"/>
        <w:bottom w:val="none" w:sz="0" w:space="0" w:color="auto"/>
        <w:right w:val="none" w:sz="0" w:space="0" w:color="auto"/>
      </w:divBdr>
    </w:div>
    <w:div w:id="841432344">
      <w:bodyDiv w:val="1"/>
      <w:marLeft w:val="0"/>
      <w:marRight w:val="0"/>
      <w:marTop w:val="0"/>
      <w:marBottom w:val="0"/>
      <w:divBdr>
        <w:top w:val="none" w:sz="0" w:space="0" w:color="auto"/>
        <w:left w:val="none" w:sz="0" w:space="0" w:color="auto"/>
        <w:bottom w:val="none" w:sz="0" w:space="0" w:color="auto"/>
        <w:right w:val="none" w:sz="0" w:space="0" w:color="auto"/>
      </w:divBdr>
    </w:div>
    <w:div w:id="849488530">
      <w:bodyDiv w:val="1"/>
      <w:marLeft w:val="0"/>
      <w:marRight w:val="0"/>
      <w:marTop w:val="0"/>
      <w:marBottom w:val="0"/>
      <w:divBdr>
        <w:top w:val="none" w:sz="0" w:space="0" w:color="auto"/>
        <w:left w:val="none" w:sz="0" w:space="0" w:color="auto"/>
        <w:bottom w:val="none" w:sz="0" w:space="0" w:color="auto"/>
        <w:right w:val="none" w:sz="0" w:space="0" w:color="auto"/>
      </w:divBdr>
    </w:div>
    <w:div w:id="861363455">
      <w:bodyDiv w:val="1"/>
      <w:marLeft w:val="0"/>
      <w:marRight w:val="0"/>
      <w:marTop w:val="0"/>
      <w:marBottom w:val="0"/>
      <w:divBdr>
        <w:top w:val="none" w:sz="0" w:space="0" w:color="auto"/>
        <w:left w:val="none" w:sz="0" w:space="0" w:color="auto"/>
        <w:bottom w:val="none" w:sz="0" w:space="0" w:color="auto"/>
        <w:right w:val="none" w:sz="0" w:space="0" w:color="auto"/>
      </w:divBdr>
    </w:div>
    <w:div w:id="886986807">
      <w:bodyDiv w:val="1"/>
      <w:marLeft w:val="0"/>
      <w:marRight w:val="0"/>
      <w:marTop w:val="0"/>
      <w:marBottom w:val="0"/>
      <w:divBdr>
        <w:top w:val="none" w:sz="0" w:space="0" w:color="auto"/>
        <w:left w:val="none" w:sz="0" w:space="0" w:color="auto"/>
        <w:bottom w:val="none" w:sz="0" w:space="0" w:color="auto"/>
        <w:right w:val="none" w:sz="0" w:space="0" w:color="auto"/>
      </w:divBdr>
    </w:div>
    <w:div w:id="901407123">
      <w:bodyDiv w:val="1"/>
      <w:marLeft w:val="0"/>
      <w:marRight w:val="0"/>
      <w:marTop w:val="0"/>
      <w:marBottom w:val="0"/>
      <w:divBdr>
        <w:top w:val="none" w:sz="0" w:space="0" w:color="auto"/>
        <w:left w:val="none" w:sz="0" w:space="0" w:color="auto"/>
        <w:bottom w:val="none" w:sz="0" w:space="0" w:color="auto"/>
        <w:right w:val="none" w:sz="0" w:space="0" w:color="auto"/>
      </w:divBdr>
    </w:div>
    <w:div w:id="907883410">
      <w:bodyDiv w:val="1"/>
      <w:marLeft w:val="0"/>
      <w:marRight w:val="0"/>
      <w:marTop w:val="0"/>
      <w:marBottom w:val="0"/>
      <w:divBdr>
        <w:top w:val="none" w:sz="0" w:space="0" w:color="auto"/>
        <w:left w:val="none" w:sz="0" w:space="0" w:color="auto"/>
        <w:bottom w:val="none" w:sz="0" w:space="0" w:color="auto"/>
        <w:right w:val="none" w:sz="0" w:space="0" w:color="auto"/>
      </w:divBdr>
      <w:divsChild>
        <w:div w:id="1363632254">
          <w:marLeft w:val="150"/>
          <w:marRight w:val="0"/>
          <w:marTop w:val="0"/>
          <w:marBottom w:val="0"/>
          <w:divBdr>
            <w:top w:val="none" w:sz="0" w:space="0" w:color="auto"/>
            <w:left w:val="none" w:sz="0" w:space="0" w:color="auto"/>
            <w:bottom w:val="none" w:sz="0" w:space="0" w:color="auto"/>
            <w:right w:val="single" w:sz="6" w:space="8" w:color="0469A3"/>
          </w:divBdr>
          <w:divsChild>
            <w:div w:id="1719012538">
              <w:marLeft w:val="0"/>
              <w:marRight w:val="0"/>
              <w:marTop w:val="0"/>
              <w:marBottom w:val="0"/>
              <w:divBdr>
                <w:top w:val="none" w:sz="0" w:space="0" w:color="auto"/>
                <w:left w:val="none" w:sz="0" w:space="0" w:color="auto"/>
                <w:bottom w:val="none" w:sz="0" w:space="0" w:color="auto"/>
                <w:right w:val="none" w:sz="0" w:space="0" w:color="auto"/>
              </w:divBdr>
              <w:divsChild>
                <w:div w:id="13684897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7058060">
      <w:bodyDiv w:val="1"/>
      <w:marLeft w:val="0"/>
      <w:marRight w:val="0"/>
      <w:marTop w:val="0"/>
      <w:marBottom w:val="0"/>
      <w:divBdr>
        <w:top w:val="none" w:sz="0" w:space="0" w:color="auto"/>
        <w:left w:val="none" w:sz="0" w:space="0" w:color="auto"/>
        <w:bottom w:val="none" w:sz="0" w:space="0" w:color="auto"/>
        <w:right w:val="none" w:sz="0" w:space="0" w:color="auto"/>
      </w:divBdr>
    </w:div>
    <w:div w:id="966551173">
      <w:bodyDiv w:val="1"/>
      <w:marLeft w:val="0"/>
      <w:marRight w:val="0"/>
      <w:marTop w:val="0"/>
      <w:marBottom w:val="0"/>
      <w:divBdr>
        <w:top w:val="none" w:sz="0" w:space="0" w:color="auto"/>
        <w:left w:val="none" w:sz="0" w:space="0" w:color="auto"/>
        <w:bottom w:val="none" w:sz="0" w:space="0" w:color="auto"/>
        <w:right w:val="none" w:sz="0" w:space="0" w:color="auto"/>
      </w:divBdr>
    </w:div>
    <w:div w:id="996490989">
      <w:bodyDiv w:val="1"/>
      <w:marLeft w:val="0"/>
      <w:marRight w:val="0"/>
      <w:marTop w:val="0"/>
      <w:marBottom w:val="0"/>
      <w:divBdr>
        <w:top w:val="none" w:sz="0" w:space="0" w:color="auto"/>
        <w:left w:val="none" w:sz="0" w:space="0" w:color="auto"/>
        <w:bottom w:val="none" w:sz="0" w:space="0" w:color="auto"/>
        <w:right w:val="none" w:sz="0" w:space="0" w:color="auto"/>
      </w:divBdr>
    </w:div>
    <w:div w:id="998270122">
      <w:bodyDiv w:val="1"/>
      <w:marLeft w:val="0"/>
      <w:marRight w:val="0"/>
      <w:marTop w:val="0"/>
      <w:marBottom w:val="0"/>
      <w:divBdr>
        <w:top w:val="none" w:sz="0" w:space="0" w:color="auto"/>
        <w:left w:val="none" w:sz="0" w:space="0" w:color="auto"/>
        <w:bottom w:val="none" w:sz="0" w:space="0" w:color="auto"/>
        <w:right w:val="none" w:sz="0" w:space="0" w:color="auto"/>
      </w:divBdr>
    </w:div>
    <w:div w:id="1006128647">
      <w:bodyDiv w:val="1"/>
      <w:marLeft w:val="0"/>
      <w:marRight w:val="0"/>
      <w:marTop w:val="0"/>
      <w:marBottom w:val="0"/>
      <w:divBdr>
        <w:top w:val="none" w:sz="0" w:space="0" w:color="auto"/>
        <w:left w:val="none" w:sz="0" w:space="0" w:color="auto"/>
        <w:bottom w:val="none" w:sz="0" w:space="0" w:color="auto"/>
        <w:right w:val="none" w:sz="0" w:space="0" w:color="auto"/>
      </w:divBdr>
    </w:div>
    <w:div w:id="1020089337">
      <w:bodyDiv w:val="1"/>
      <w:marLeft w:val="0"/>
      <w:marRight w:val="0"/>
      <w:marTop w:val="0"/>
      <w:marBottom w:val="0"/>
      <w:divBdr>
        <w:top w:val="none" w:sz="0" w:space="0" w:color="auto"/>
        <w:left w:val="none" w:sz="0" w:space="0" w:color="auto"/>
        <w:bottom w:val="none" w:sz="0" w:space="0" w:color="auto"/>
        <w:right w:val="none" w:sz="0" w:space="0" w:color="auto"/>
      </w:divBdr>
    </w:div>
    <w:div w:id="1075124043">
      <w:bodyDiv w:val="1"/>
      <w:marLeft w:val="0"/>
      <w:marRight w:val="0"/>
      <w:marTop w:val="0"/>
      <w:marBottom w:val="0"/>
      <w:divBdr>
        <w:top w:val="none" w:sz="0" w:space="0" w:color="auto"/>
        <w:left w:val="none" w:sz="0" w:space="0" w:color="auto"/>
        <w:bottom w:val="none" w:sz="0" w:space="0" w:color="auto"/>
        <w:right w:val="none" w:sz="0" w:space="0" w:color="auto"/>
      </w:divBdr>
    </w:div>
    <w:div w:id="1091663799">
      <w:bodyDiv w:val="1"/>
      <w:marLeft w:val="0"/>
      <w:marRight w:val="0"/>
      <w:marTop w:val="0"/>
      <w:marBottom w:val="0"/>
      <w:divBdr>
        <w:top w:val="none" w:sz="0" w:space="0" w:color="auto"/>
        <w:left w:val="none" w:sz="0" w:space="0" w:color="auto"/>
        <w:bottom w:val="none" w:sz="0" w:space="0" w:color="auto"/>
        <w:right w:val="none" w:sz="0" w:space="0" w:color="auto"/>
      </w:divBdr>
    </w:div>
    <w:div w:id="1095318564">
      <w:bodyDiv w:val="1"/>
      <w:marLeft w:val="0"/>
      <w:marRight w:val="0"/>
      <w:marTop w:val="0"/>
      <w:marBottom w:val="0"/>
      <w:divBdr>
        <w:top w:val="none" w:sz="0" w:space="0" w:color="auto"/>
        <w:left w:val="none" w:sz="0" w:space="0" w:color="auto"/>
        <w:bottom w:val="none" w:sz="0" w:space="0" w:color="auto"/>
        <w:right w:val="none" w:sz="0" w:space="0" w:color="auto"/>
      </w:divBdr>
    </w:div>
    <w:div w:id="1098135072">
      <w:bodyDiv w:val="1"/>
      <w:marLeft w:val="0"/>
      <w:marRight w:val="0"/>
      <w:marTop w:val="0"/>
      <w:marBottom w:val="0"/>
      <w:divBdr>
        <w:top w:val="none" w:sz="0" w:space="0" w:color="auto"/>
        <w:left w:val="none" w:sz="0" w:space="0" w:color="auto"/>
        <w:bottom w:val="none" w:sz="0" w:space="0" w:color="auto"/>
        <w:right w:val="none" w:sz="0" w:space="0" w:color="auto"/>
      </w:divBdr>
    </w:div>
    <w:div w:id="1115447844">
      <w:bodyDiv w:val="1"/>
      <w:marLeft w:val="0"/>
      <w:marRight w:val="0"/>
      <w:marTop w:val="0"/>
      <w:marBottom w:val="0"/>
      <w:divBdr>
        <w:top w:val="none" w:sz="0" w:space="0" w:color="auto"/>
        <w:left w:val="none" w:sz="0" w:space="0" w:color="auto"/>
        <w:bottom w:val="none" w:sz="0" w:space="0" w:color="auto"/>
        <w:right w:val="none" w:sz="0" w:space="0" w:color="auto"/>
      </w:divBdr>
    </w:div>
    <w:div w:id="1131240538">
      <w:bodyDiv w:val="1"/>
      <w:marLeft w:val="0"/>
      <w:marRight w:val="0"/>
      <w:marTop w:val="0"/>
      <w:marBottom w:val="0"/>
      <w:divBdr>
        <w:top w:val="none" w:sz="0" w:space="0" w:color="auto"/>
        <w:left w:val="none" w:sz="0" w:space="0" w:color="auto"/>
        <w:bottom w:val="none" w:sz="0" w:space="0" w:color="auto"/>
        <w:right w:val="none" w:sz="0" w:space="0" w:color="auto"/>
      </w:divBdr>
    </w:div>
    <w:div w:id="1188568344">
      <w:bodyDiv w:val="1"/>
      <w:marLeft w:val="0"/>
      <w:marRight w:val="0"/>
      <w:marTop w:val="0"/>
      <w:marBottom w:val="0"/>
      <w:divBdr>
        <w:top w:val="none" w:sz="0" w:space="0" w:color="auto"/>
        <w:left w:val="none" w:sz="0" w:space="0" w:color="auto"/>
        <w:bottom w:val="none" w:sz="0" w:space="0" w:color="auto"/>
        <w:right w:val="none" w:sz="0" w:space="0" w:color="auto"/>
      </w:divBdr>
    </w:div>
    <w:div w:id="1189022151">
      <w:bodyDiv w:val="1"/>
      <w:marLeft w:val="0"/>
      <w:marRight w:val="0"/>
      <w:marTop w:val="0"/>
      <w:marBottom w:val="0"/>
      <w:divBdr>
        <w:top w:val="none" w:sz="0" w:space="0" w:color="auto"/>
        <w:left w:val="none" w:sz="0" w:space="0" w:color="auto"/>
        <w:bottom w:val="none" w:sz="0" w:space="0" w:color="auto"/>
        <w:right w:val="none" w:sz="0" w:space="0" w:color="auto"/>
      </w:divBdr>
    </w:div>
    <w:div w:id="1189180020">
      <w:bodyDiv w:val="1"/>
      <w:marLeft w:val="0"/>
      <w:marRight w:val="0"/>
      <w:marTop w:val="0"/>
      <w:marBottom w:val="0"/>
      <w:divBdr>
        <w:top w:val="none" w:sz="0" w:space="0" w:color="auto"/>
        <w:left w:val="none" w:sz="0" w:space="0" w:color="auto"/>
        <w:bottom w:val="none" w:sz="0" w:space="0" w:color="auto"/>
        <w:right w:val="none" w:sz="0" w:space="0" w:color="auto"/>
      </w:divBdr>
    </w:div>
    <w:div w:id="1203251407">
      <w:bodyDiv w:val="1"/>
      <w:marLeft w:val="0"/>
      <w:marRight w:val="0"/>
      <w:marTop w:val="0"/>
      <w:marBottom w:val="0"/>
      <w:divBdr>
        <w:top w:val="none" w:sz="0" w:space="0" w:color="auto"/>
        <w:left w:val="none" w:sz="0" w:space="0" w:color="auto"/>
        <w:bottom w:val="none" w:sz="0" w:space="0" w:color="auto"/>
        <w:right w:val="none" w:sz="0" w:space="0" w:color="auto"/>
      </w:divBdr>
      <w:divsChild>
        <w:div w:id="1267738942">
          <w:blockQuote w:val="1"/>
          <w:marLeft w:val="600"/>
          <w:marRight w:val="600"/>
          <w:marTop w:val="240"/>
          <w:marBottom w:val="240"/>
          <w:divBdr>
            <w:top w:val="none" w:sz="0" w:space="0" w:color="auto"/>
            <w:left w:val="none" w:sz="0" w:space="0" w:color="auto"/>
            <w:bottom w:val="none" w:sz="0" w:space="0" w:color="auto"/>
            <w:right w:val="none" w:sz="0" w:space="0" w:color="auto"/>
          </w:divBdr>
        </w:div>
        <w:div w:id="190608653">
          <w:blockQuote w:val="1"/>
          <w:marLeft w:val="600"/>
          <w:marRight w:val="600"/>
          <w:marTop w:val="240"/>
          <w:marBottom w:val="240"/>
          <w:divBdr>
            <w:top w:val="none" w:sz="0" w:space="0" w:color="auto"/>
            <w:left w:val="none" w:sz="0" w:space="0" w:color="auto"/>
            <w:bottom w:val="none" w:sz="0" w:space="0" w:color="auto"/>
            <w:right w:val="none" w:sz="0" w:space="0" w:color="auto"/>
          </w:divBdr>
        </w:div>
        <w:div w:id="22558888">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221555026">
      <w:bodyDiv w:val="1"/>
      <w:marLeft w:val="0"/>
      <w:marRight w:val="0"/>
      <w:marTop w:val="0"/>
      <w:marBottom w:val="0"/>
      <w:divBdr>
        <w:top w:val="none" w:sz="0" w:space="0" w:color="auto"/>
        <w:left w:val="none" w:sz="0" w:space="0" w:color="auto"/>
        <w:bottom w:val="none" w:sz="0" w:space="0" w:color="auto"/>
        <w:right w:val="none" w:sz="0" w:space="0" w:color="auto"/>
      </w:divBdr>
    </w:div>
    <w:div w:id="1222981452">
      <w:bodyDiv w:val="1"/>
      <w:marLeft w:val="0"/>
      <w:marRight w:val="0"/>
      <w:marTop w:val="0"/>
      <w:marBottom w:val="0"/>
      <w:divBdr>
        <w:top w:val="none" w:sz="0" w:space="0" w:color="auto"/>
        <w:left w:val="none" w:sz="0" w:space="0" w:color="auto"/>
        <w:bottom w:val="none" w:sz="0" w:space="0" w:color="auto"/>
        <w:right w:val="none" w:sz="0" w:space="0" w:color="auto"/>
      </w:divBdr>
    </w:div>
    <w:div w:id="1241528069">
      <w:bodyDiv w:val="1"/>
      <w:marLeft w:val="0"/>
      <w:marRight w:val="0"/>
      <w:marTop w:val="0"/>
      <w:marBottom w:val="0"/>
      <w:divBdr>
        <w:top w:val="none" w:sz="0" w:space="0" w:color="auto"/>
        <w:left w:val="none" w:sz="0" w:space="0" w:color="auto"/>
        <w:bottom w:val="none" w:sz="0" w:space="0" w:color="auto"/>
        <w:right w:val="none" w:sz="0" w:space="0" w:color="auto"/>
      </w:divBdr>
    </w:div>
    <w:div w:id="1242064224">
      <w:bodyDiv w:val="1"/>
      <w:marLeft w:val="0"/>
      <w:marRight w:val="0"/>
      <w:marTop w:val="0"/>
      <w:marBottom w:val="0"/>
      <w:divBdr>
        <w:top w:val="none" w:sz="0" w:space="0" w:color="auto"/>
        <w:left w:val="none" w:sz="0" w:space="0" w:color="auto"/>
        <w:bottom w:val="none" w:sz="0" w:space="0" w:color="auto"/>
        <w:right w:val="none" w:sz="0" w:space="0" w:color="auto"/>
      </w:divBdr>
    </w:div>
    <w:div w:id="1246692539">
      <w:bodyDiv w:val="1"/>
      <w:marLeft w:val="0"/>
      <w:marRight w:val="0"/>
      <w:marTop w:val="0"/>
      <w:marBottom w:val="0"/>
      <w:divBdr>
        <w:top w:val="none" w:sz="0" w:space="0" w:color="auto"/>
        <w:left w:val="none" w:sz="0" w:space="0" w:color="auto"/>
        <w:bottom w:val="none" w:sz="0" w:space="0" w:color="auto"/>
        <w:right w:val="none" w:sz="0" w:space="0" w:color="auto"/>
      </w:divBdr>
    </w:div>
    <w:div w:id="1257403921">
      <w:bodyDiv w:val="1"/>
      <w:marLeft w:val="0"/>
      <w:marRight w:val="0"/>
      <w:marTop w:val="0"/>
      <w:marBottom w:val="0"/>
      <w:divBdr>
        <w:top w:val="none" w:sz="0" w:space="0" w:color="auto"/>
        <w:left w:val="none" w:sz="0" w:space="0" w:color="auto"/>
        <w:bottom w:val="none" w:sz="0" w:space="0" w:color="auto"/>
        <w:right w:val="none" w:sz="0" w:space="0" w:color="auto"/>
      </w:divBdr>
    </w:div>
    <w:div w:id="1264461643">
      <w:bodyDiv w:val="1"/>
      <w:marLeft w:val="0"/>
      <w:marRight w:val="0"/>
      <w:marTop w:val="0"/>
      <w:marBottom w:val="0"/>
      <w:divBdr>
        <w:top w:val="none" w:sz="0" w:space="0" w:color="auto"/>
        <w:left w:val="none" w:sz="0" w:space="0" w:color="auto"/>
        <w:bottom w:val="none" w:sz="0" w:space="0" w:color="auto"/>
        <w:right w:val="none" w:sz="0" w:space="0" w:color="auto"/>
      </w:divBdr>
    </w:div>
    <w:div w:id="1274552967">
      <w:bodyDiv w:val="1"/>
      <w:marLeft w:val="0"/>
      <w:marRight w:val="0"/>
      <w:marTop w:val="0"/>
      <w:marBottom w:val="0"/>
      <w:divBdr>
        <w:top w:val="none" w:sz="0" w:space="0" w:color="auto"/>
        <w:left w:val="none" w:sz="0" w:space="0" w:color="auto"/>
        <w:bottom w:val="none" w:sz="0" w:space="0" w:color="auto"/>
        <w:right w:val="none" w:sz="0" w:space="0" w:color="auto"/>
      </w:divBdr>
    </w:div>
    <w:div w:id="1295525294">
      <w:bodyDiv w:val="1"/>
      <w:marLeft w:val="0"/>
      <w:marRight w:val="0"/>
      <w:marTop w:val="0"/>
      <w:marBottom w:val="0"/>
      <w:divBdr>
        <w:top w:val="none" w:sz="0" w:space="0" w:color="auto"/>
        <w:left w:val="none" w:sz="0" w:space="0" w:color="auto"/>
        <w:bottom w:val="none" w:sz="0" w:space="0" w:color="auto"/>
        <w:right w:val="none" w:sz="0" w:space="0" w:color="auto"/>
      </w:divBdr>
    </w:div>
    <w:div w:id="1343895939">
      <w:bodyDiv w:val="1"/>
      <w:marLeft w:val="0"/>
      <w:marRight w:val="0"/>
      <w:marTop w:val="0"/>
      <w:marBottom w:val="0"/>
      <w:divBdr>
        <w:top w:val="none" w:sz="0" w:space="0" w:color="auto"/>
        <w:left w:val="none" w:sz="0" w:space="0" w:color="auto"/>
        <w:bottom w:val="none" w:sz="0" w:space="0" w:color="auto"/>
        <w:right w:val="none" w:sz="0" w:space="0" w:color="auto"/>
      </w:divBdr>
    </w:div>
    <w:div w:id="1367756360">
      <w:bodyDiv w:val="1"/>
      <w:marLeft w:val="0"/>
      <w:marRight w:val="0"/>
      <w:marTop w:val="0"/>
      <w:marBottom w:val="0"/>
      <w:divBdr>
        <w:top w:val="none" w:sz="0" w:space="0" w:color="auto"/>
        <w:left w:val="none" w:sz="0" w:space="0" w:color="auto"/>
        <w:bottom w:val="none" w:sz="0" w:space="0" w:color="auto"/>
        <w:right w:val="none" w:sz="0" w:space="0" w:color="auto"/>
      </w:divBdr>
    </w:div>
    <w:div w:id="1392465824">
      <w:bodyDiv w:val="1"/>
      <w:marLeft w:val="0"/>
      <w:marRight w:val="0"/>
      <w:marTop w:val="0"/>
      <w:marBottom w:val="0"/>
      <w:divBdr>
        <w:top w:val="none" w:sz="0" w:space="0" w:color="auto"/>
        <w:left w:val="none" w:sz="0" w:space="0" w:color="auto"/>
        <w:bottom w:val="none" w:sz="0" w:space="0" w:color="auto"/>
        <w:right w:val="none" w:sz="0" w:space="0" w:color="auto"/>
      </w:divBdr>
    </w:div>
    <w:div w:id="1396977849">
      <w:bodyDiv w:val="1"/>
      <w:marLeft w:val="0"/>
      <w:marRight w:val="0"/>
      <w:marTop w:val="0"/>
      <w:marBottom w:val="0"/>
      <w:divBdr>
        <w:top w:val="none" w:sz="0" w:space="0" w:color="auto"/>
        <w:left w:val="none" w:sz="0" w:space="0" w:color="auto"/>
        <w:bottom w:val="none" w:sz="0" w:space="0" w:color="auto"/>
        <w:right w:val="none" w:sz="0" w:space="0" w:color="auto"/>
      </w:divBdr>
    </w:div>
    <w:div w:id="1410271608">
      <w:bodyDiv w:val="1"/>
      <w:marLeft w:val="0"/>
      <w:marRight w:val="0"/>
      <w:marTop w:val="0"/>
      <w:marBottom w:val="0"/>
      <w:divBdr>
        <w:top w:val="none" w:sz="0" w:space="0" w:color="auto"/>
        <w:left w:val="none" w:sz="0" w:space="0" w:color="auto"/>
        <w:bottom w:val="none" w:sz="0" w:space="0" w:color="auto"/>
        <w:right w:val="none" w:sz="0" w:space="0" w:color="auto"/>
      </w:divBdr>
    </w:div>
    <w:div w:id="1415123669">
      <w:bodyDiv w:val="1"/>
      <w:marLeft w:val="0"/>
      <w:marRight w:val="0"/>
      <w:marTop w:val="0"/>
      <w:marBottom w:val="0"/>
      <w:divBdr>
        <w:top w:val="none" w:sz="0" w:space="0" w:color="auto"/>
        <w:left w:val="none" w:sz="0" w:space="0" w:color="auto"/>
        <w:bottom w:val="none" w:sz="0" w:space="0" w:color="auto"/>
        <w:right w:val="none" w:sz="0" w:space="0" w:color="auto"/>
      </w:divBdr>
    </w:div>
    <w:div w:id="1441677396">
      <w:bodyDiv w:val="1"/>
      <w:marLeft w:val="0"/>
      <w:marRight w:val="0"/>
      <w:marTop w:val="0"/>
      <w:marBottom w:val="0"/>
      <w:divBdr>
        <w:top w:val="none" w:sz="0" w:space="0" w:color="auto"/>
        <w:left w:val="none" w:sz="0" w:space="0" w:color="auto"/>
        <w:bottom w:val="none" w:sz="0" w:space="0" w:color="auto"/>
        <w:right w:val="none" w:sz="0" w:space="0" w:color="auto"/>
      </w:divBdr>
    </w:div>
    <w:div w:id="1442652056">
      <w:bodyDiv w:val="1"/>
      <w:marLeft w:val="0"/>
      <w:marRight w:val="0"/>
      <w:marTop w:val="0"/>
      <w:marBottom w:val="0"/>
      <w:divBdr>
        <w:top w:val="none" w:sz="0" w:space="0" w:color="auto"/>
        <w:left w:val="none" w:sz="0" w:space="0" w:color="auto"/>
        <w:bottom w:val="none" w:sz="0" w:space="0" w:color="auto"/>
        <w:right w:val="none" w:sz="0" w:space="0" w:color="auto"/>
      </w:divBdr>
    </w:div>
    <w:div w:id="1445729301">
      <w:bodyDiv w:val="1"/>
      <w:marLeft w:val="0"/>
      <w:marRight w:val="0"/>
      <w:marTop w:val="0"/>
      <w:marBottom w:val="0"/>
      <w:divBdr>
        <w:top w:val="none" w:sz="0" w:space="0" w:color="auto"/>
        <w:left w:val="none" w:sz="0" w:space="0" w:color="auto"/>
        <w:bottom w:val="none" w:sz="0" w:space="0" w:color="auto"/>
        <w:right w:val="none" w:sz="0" w:space="0" w:color="auto"/>
      </w:divBdr>
    </w:div>
    <w:div w:id="1453595038">
      <w:bodyDiv w:val="1"/>
      <w:marLeft w:val="0"/>
      <w:marRight w:val="0"/>
      <w:marTop w:val="0"/>
      <w:marBottom w:val="0"/>
      <w:divBdr>
        <w:top w:val="none" w:sz="0" w:space="0" w:color="auto"/>
        <w:left w:val="none" w:sz="0" w:space="0" w:color="auto"/>
        <w:bottom w:val="none" w:sz="0" w:space="0" w:color="auto"/>
        <w:right w:val="none" w:sz="0" w:space="0" w:color="auto"/>
      </w:divBdr>
    </w:div>
    <w:div w:id="1511484455">
      <w:bodyDiv w:val="1"/>
      <w:marLeft w:val="0"/>
      <w:marRight w:val="0"/>
      <w:marTop w:val="0"/>
      <w:marBottom w:val="0"/>
      <w:divBdr>
        <w:top w:val="none" w:sz="0" w:space="0" w:color="auto"/>
        <w:left w:val="none" w:sz="0" w:space="0" w:color="auto"/>
        <w:bottom w:val="none" w:sz="0" w:space="0" w:color="auto"/>
        <w:right w:val="none" w:sz="0" w:space="0" w:color="auto"/>
      </w:divBdr>
    </w:div>
    <w:div w:id="1512910957">
      <w:bodyDiv w:val="1"/>
      <w:marLeft w:val="0"/>
      <w:marRight w:val="0"/>
      <w:marTop w:val="0"/>
      <w:marBottom w:val="0"/>
      <w:divBdr>
        <w:top w:val="none" w:sz="0" w:space="0" w:color="auto"/>
        <w:left w:val="none" w:sz="0" w:space="0" w:color="auto"/>
        <w:bottom w:val="none" w:sz="0" w:space="0" w:color="auto"/>
        <w:right w:val="none" w:sz="0" w:space="0" w:color="auto"/>
      </w:divBdr>
    </w:div>
    <w:div w:id="1563563648">
      <w:bodyDiv w:val="1"/>
      <w:marLeft w:val="0"/>
      <w:marRight w:val="0"/>
      <w:marTop w:val="0"/>
      <w:marBottom w:val="0"/>
      <w:divBdr>
        <w:top w:val="none" w:sz="0" w:space="0" w:color="auto"/>
        <w:left w:val="none" w:sz="0" w:space="0" w:color="auto"/>
        <w:bottom w:val="none" w:sz="0" w:space="0" w:color="auto"/>
        <w:right w:val="none" w:sz="0" w:space="0" w:color="auto"/>
      </w:divBdr>
    </w:div>
    <w:div w:id="1628504618">
      <w:bodyDiv w:val="1"/>
      <w:marLeft w:val="0"/>
      <w:marRight w:val="0"/>
      <w:marTop w:val="0"/>
      <w:marBottom w:val="0"/>
      <w:divBdr>
        <w:top w:val="none" w:sz="0" w:space="0" w:color="auto"/>
        <w:left w:val="none" w:sz="0" w:space="0" w:color="auto"/>
        <w:bottom w:val="none" w:sz="0" w:space="0" w:color="auto"/>
        <w:right w:val="none" w:sz="0" w:space="0" w:color="auto"/>
      </w:divBdr>
    </w:div>
    <w:div w:id="1665818683">
      <w:bodyDiv w:val="1"/>
      <w:marLeft w:val="0"/>
      <w:marRight w:val="0"/>
      <w:marTop w:val="0"/>
      <w:marBottom w:val="0"/>
      <w:divBdr>
        <w:top w:val="none" w:sz="0" w:space="0" w:color="auto"/>
        <w:left w:val="none" w:sz="0" w:space="0" w:color="auto"/>
        <w:bottom w:val="none" w:sz="0" w:space="0" w:color="auto"/>
        <w:right w:val="none" w:sz="0" w:space="0" w:color="auto"/>
      </w:divBdr>
      <w:divsChild>
        <w:div w:id="1370062342">
          <w:blockQuote w:val="1"/>
          <w:marLeft w:val="600"/>
          <w:marRight w:val="600"/>
          <w:marTop w:val="240"/>
          <w:marBottom w:val="240"/>
          <w:divBdr>
            <w:top w:val="none" w:sz="0" w:space="0" w:color="auto"/>
            <w:left w:val="none" w:sz="0" w:space="0" w:color="auto"/>
            <w:bottom w:val="none" w:sz="0" w:space="0" w:color="auto"/>
            <w:right w:val="none" w:sz="0" w:space="0" w:color="auto"/>
          </w:divBdr>
        </w:div>
        <w:div w:id="683364771">
          <w:blockQuote w:val="1"/>
          <w:marLeft w:val="600"/>
          <w:marRight w:val="600"/>
          <w:marTop w:val="240"/>
          <w:marBottom w:val="240"/>
          <w:divBdr>
            <w:top w:val="none" w:sz="0" w:space="0" w:color="auto"/>
            <w:left w:val="none" w:sz="0" w:space="0" w:color="auto"/>
            <w:bottom w:val="none" w:sz="0" w:space="0" w:color="auto"/>
            <w:right w:val="none" w:sz="0" w:space="0" w:color="auto"/>
          </w:divBdr>
        </w:div>
        <w:div w:id="424349395">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669409205">
      <w:bodyDiv w:val="1"/>
      <w:marLeft w:val="0"/>
      <w:marRight w:val="0"/>
      <w:marTop w:val="0"/>
      <w:marBottom w:val="0"/>
      <w:divBdr>
        <w:top w:val="none" w:sz="0" w:space="0" w:color="auto"/>
        <w:left w:val="none" w:sz="0" w:space="0" w:color="auto"/>
        <w:bottom w:val="none" w:sz="0" w:space="0" w:color="auto"/>
        <w:right w:val="none" w:sz="0" w:space="0" w:color="auto"/>
      </w:divBdr>
    </w:div>
    <w:div w:id="1675524264">
      <w:bodyDiv w:val="1"/>
      <w:marLeft w:val="0"/>
      <w:marRight w:val="0"/>
      <w:marTop w:val="0"/>
      <w:marBottom w:val="0"/>
      <w:divBdr>
        <w:top w:val="none" w:sz="0" w:space="0" w:color="auto"/>
        <w:left w:val="none" w:sz="0" w:space="0" w:color="auto"/>
        <w:bottom w:val="none" w:sz="0" w:space="0" w:color="auto"/>
        <w:right w:val="none" w:sz="0" w:space="0" w:color="auto"/>
      </w:divBdr>
    </w:div>
    <w:div w:id="1729956201">
      <w:bodyDiv w:val="1"/>
      <w:marLeft w:val="0"/>
      <w:marRight w:val="0"/>
      <w:marTop w:val="0"/>
      <w:marBottom w:val="0"/>
      <w:divBdr>
        <w:top w:val="none" w:sz="0" w:space="0" w:color="auto"/>
        <w:left w:val="none" w:sz="0" w:space="0" w:color="auto"/>
        <w:bottom w:val="none" w:sz="0" w:space="0" w:color="auto"/>
        <w:right w:val="none" w:sz="0" w:space="0" w:color="auto"/>
      </w:divBdr>
    </w:div>
    <w:div w:id="1739208350">
      <w:bodyDiv w:val="1"/>
      <w:marLeft w:val="0"/>
      <w:marRight w:val="0"/>
      <w:marTop w:val="0"/>
      <w:marBottom w:val="0"/>
      <w:divBdr>
        <w:top w:val="none" w:sz="0" w:space="0" w:color="auto"/>
        <w:left w:val="none" w:sz="0" w:space="0" w:color="auto"/>
        <w:bottom w:val="none" w:sz="0" w:space="0" w:color="auto"/>
        <w:right w:val="none" w:sz="0" w:space="0" w:color="auto"/>
      </w:divBdr>
    </w:div>
    <w:div w:id="1756440376">
      <w:bodyDiv w:val="1"/>
      <w:marLeft w:val="0"/>
      <w:marRight w:val="0"/>
      <w:marTop w:val="0"/>
      <w:marBottom w:val="0"/>
      <w:divBdr>
        <w:top w:val="none" w:sz="0" w:space="0" w:color="auto"/>
        <w:left w:val="none" w:sz="0" w:space="0" w:color="auto"/>
        <w:bottom w:val="none" w:sz="0" w:space="0" w:color="auto"/>
        <w:right w:val="none" w:sz="0" w:space="0" w:color="auto"/>
      </w:divBdr>
    </w:div>
    <w:div w:id="1773814566">
      <w:bodyDiv w:val="1"/>
      <w:marLeft w:val="0"/>
      <w:marRight w:val="0"/>
      <w:marTop w:val="0"/>
      <w:marBottom w:val="0"/>
      <w:divBdr>
        <w:top w:val="none" w:sz="0" w:space="0" w:color="auto"/>
        <w:left w:val="none" w:sz="0" w:space="0" w:color="auto"/>
        <w:bottom w:val="none" w:sz="0" w:space="0" w:color="auto"/>
        <w:right w:val="none" w:sz="0" w:space="0" w:color="auto"/>
      </w:divBdr>
    </w:div>
    <w:div w:id="1783182832">
      <w:bodyDiv w:val="1"/>
      <w:marLeft w:val="0"/>
      <w:marRight w:val="0"/>
      <w:marTop w:val="0"/>
      <w:marBottom w:val="0"/>
      <w:divBdr>
        <w:top w:val="none" w:sz="0" w:space="0" w:color="auto"/>
        <w:left w:val="none" w:sz="0" w:space="0" w:color="auto"/>
        <w:bottom w:val="none" w:sz="0" w:space="0" w:color="auto"/>
        <w:right w:val="none" w:sz="0" w:space="0" w:color="auto"/>
      </w:divBdr>
    </w:div>
    <w:div w:id="1791312741">
      <w:bodyDiv w:val="1"/>
      <w:marLeft w:val="0"/>
      <w:marRight w:val="0"/>
      <w:marTop w:val="0"/>
      <w:marBottom w:val="0"/>
      <w:divBdr>
        <w:top w:val="none" w:sz="0" w:space="0" w:color="auto"/>
        <w:left w:val="none" w:sz="0" w:space="0" w:color="auto"/>
        <w:bottom w:val="none" w:sz="0" w:space="0" w:color="auto"/>
        <w:right w:val="none" w:sz="0" w:space="0" w:color="auto"/>
      </w:divBdr>
    </w:div>
    <w:div w:id="1844660143">
      <w:bodyDiv w:val="1"/>
      <w:marLeft w:val="0"/>
      <w:marRight w:val="0"/>
      <w:marTop w:val="0"/>
      <w:marBottom w:val="0"/>
      <w:divBdr>
        <w:top w:val="none" w:sz="0" w:space="0" w:color="auto"/>
        <w:left w:val="none" w:sz="0" w:space="0" w:color="auto"/>
        <w:bottom w:val="none" w:sz="0" w:space="0" w:color="auto"/>
        <w:right w:val="none" w:sz="0" w:space="0" w:color="auto"/>
      </w:divBdr>
    </w:div>
    <w:div w:id="1852447041">
      <w:bodyDiv w:val="1"/>
      <w:marLeft w:val="0"/>
      <w:marRight w:val="0"/>
      <w:marTop w:val="0"/>
      <w:marBottom w:val="0"/>
      <w:divBdr>
        <w:top w:val="none" w:sz="0" w:space="0" w:color="auto"/>
        <w:left w:val="none" w:sz="0" w:space="0" w:color="auto"/>
        <w:bottom w:val="none" w:sz="0" w:space="0" w:color="auto"/>
        <w:right w:val="none" w:sz="0" w:space="0" w:color="auto"/>
      </w:divBdr>
    </w:div>
    <w:div w:id="1852599766">
      <w:bodyDiv w:val="1"/>
      <w:marLeft w:val="0"/>
      <w:marRight w:val="0"/>
      <w:marTop w:val="0"/>
      <w:marBottom w:val="0"/>
      <w:divBdr>
        <w:top w:val="none" w:sz="0" w:space="0" w:color="auto"/>
        <w:left w:val="none" w:sz="0" w:space="0" w:color="auto"/>
        <w:bottom w:val="none" w:sz="0" w:space="0" w:color="auto"/>
        <w:right w:val="none" w:sz="0" w:space="0" w:color="auto"/>
      </w:divBdr>
    </w:div>
    <w:div w:id="1865098571">
      <w:bodyDiv w:val="1"/>
      <w:marLeft w:val="0"/>
      <w:marRight w:val="0"/>
      <w:marTop w:val="0"/>
      <w:marBottom w:val="0"/>
      <w:divBdr>
        <w:top w:val="none" w:sz="0" w:space="0" w:color="auto"/>
        <w:left w:val="none" w:sz="0" w:space="0" w:color="auto"/>
        <w:bottom w:val="none" w:sz="0" w:space="0" w:color="auto"/>
        <w:right w:val="none" w:sz="0" w:space="0" w:color="auto"/>
      </w:divBdr>
    </w:div>
    <w:div w:id="1872956208">
      <w:bodyDiv w:val="1"/>
      <w:marLeft w:val="0"/>
      <w:marRight w:val="0"/>
      <w:marTop w:val="0"/>
      <w:marBottom w:val="0"/>
      <w:divBdr>
        <w:top w:val="none" w:sz="0" w:space="0" w:color="auto"/>
        <w:left w:val="none" w:sz="0" w:space="0" w:color="auto"/>
        <w:bottom w:val="none" w:sz="0" w:space="0" w:color="auto"/>
        <w:right w:val="none" w:sz="0" w:space="0" w:color="auto"/>
      </w:divBdr>
    </w:div>
    <w:div w:id="1890074537">
      <w:bodyDiv w:val="1"/>
      <w:marLeft w:val="0"/>
      <w:marRight w:val="0"/>
      <w:marTop w:val="0"/>
      <w:marBottom w:val="0"/>
      <w:divBdr>
        <w:top w:val="none" w:sz="0" w:space="0" w:color="auto"/>
        <w:left w:val="none" w:sz="0" w:space="0" w:color="auto"/>
        <w:bottom w:val="none" w:sz="0" w:space="0" w:color="auto"/>
        <w:right w:val="none" w:sz="0" w:space="0" w:color="auto"/>
      </w:divBdr>
    </w:div>
    <w:div w:id="1908491040">
      <w:bodyDiv w:val="1"/>
      <w:marLeft w:val="0"/>
      <w:marRight w:val="0"/>
      <w:marTop w:val="0"/>
      <w:marBottom w:val="0"/>
      <w:divBdr>
        <w:top w:val="none" w:sz="0" w:space="0" w:color="auto"/>
        <w:left w:val="none" w:sz="0" w:space="0" w:color="auto"/>
        <w:bottom w:val="none" w:sz="0" w:space="0" w:color="auto"/>
        <w:right w:val="none" w:sz="0" w:space="0" w:color="auto"/>
      </w:divBdr>
    </w:div>
    <w:div w:id="1971979823">
      <w:bodyDiv w:val="1"/>
      <w:marLeft w:val="0"/>
      <w:marRight w:val="0"/>
      <w:marTop w:val="0"/>
      <w:marBottom w:val="0"/>
      <w:divBdr>
        <w:top w:val="none" w:sz="0" w:space="0" w:color="auto"/>
        <w:left w:val="none" w:sz="0" w:space="0" w:color="auto"/>
        <w:bottom w:val="none" w:sz="0" w:space="0" w:color="auto"/>
        <w:right w:val="none" w:sz="0" w:space="0" w:color="auto"/>
      </w:divBdr>
    </w:div>
    <w:div w:id="2009167303">
      <w:bodyDiv w:val="1"/>
      <w:marLeft w:val="0"/>
      <w:marRight w:val="0"/>
      <w:marTop w:val="0"/>
      <w:marBottom w:val="0"/>
      <w:divBdr>
        <w:top w:val="none" w:sz="0" w:space="0" w:color="auto"/>
        <w:left w:val="none" w:sz="0" w:space="0" w:color="auto"/>
        <w:bottom w:val="none" w:sz="0" w:space="0" w:color="auto"/>
        <w:right w:val="none" w:sz="0" w:space="0" w:color="auto"/>
      </w:divBdr>
    </w:div>
    <w:div w:id="2014184872">
      <w:bodyDiv w:val="1"/>
      <w:marLeft w:val="0"/>
      <w:marRight w:val="0"/>
      <w:marTop w:val="0"/>
      <w:marBottom w:val="0"/>
      <w:divBdr>
        <w:top w:val="none" w:sz="0" w:space="0" w:color="auto"/>
        <w:left w:val="none" w:sz="0" w:space="0" w:color="auto"/>
        <w:bottom w:val="none" w:sz="0" w:space="0" w:color="auto"/>
        <w:right w:val="none" w:sz="0" w:space="0" w:color="auto"/>
      </w:divBdr>
    </w:div>
    <w:div w:id="2027094075">
      <w:bodyDiv w:val="1"/>
      <w:marLeft w:val="0"/>
      <w:marRight w:val="0"/>
      <w:marTop w:val="0"/>
      <w:marBottom w:val="0"/>
      <w:divBdr>
        <w:top w:val="none" w:sz="0" w:space="0" w:color="auto"/>
        <w:left w:val="none" w:sz="0" w:space="0" w:color="auto"/>
        <w:bottom w:val="none" w:sz="0" w:space="0" w:color="auto"/>
        <w:right w:val="none" w:sz="0" w:space="0" w:color="auto"/>
      </w:divBdr>
    </w:div>
    <w:div w:id="2085834400">
      <w:bodyDiv w:val="1"/>
      <w:marLeft w:val="0"/>
      <w:marRight w:val="0"/>
      <w:marTop w:val="0"/>
      <w:marBottom w:val="0"/>
      <w:divBdr>
        <w:top w:val="none" w:sz="0" w:space="0" w:color="auto"/>
        <w:left w:val="none" w:sz="0" w:space="0" w:color="auto"/>
        <w:bottom w:val="none" w:sz="0" w:space="0" w:color="auto"/>
        <w:right w:val="none" w:sz="0" w:space="0" w:color="auto"/>
      </w:divBdr>
    </w:div>
    <w:div w:id="2089963273">
      <w:bodyDiv w:val="1"/>
      <w:marLeft w:val="0"/>
      <w:marRight w:val="0"/>
      <w:marTop w:val="0"/>
      <w:marBottom w:val="0"/>
      <w:divBdr>
        <w:top w:val="none" w:sz="0" w:space="0" w:color="auto"/>
        <w:left w:val="none" w:sz="0" w:space="0" w:color="auto"/>
        <w:bottom w:val="none" w:sz="0" w:space="0" w:color="auto"/>
        <w:right w:val="none" w:sz="0" w:space="0" w:color="auto"/>
      </w:divBdr>
    </w:div>
    <w:div w:id="2091654621">
      <w:bodyDiv w:val="1"/>
      <w:marLeft w:val="0"/>
      <w:marRight w:val="0"/>
      <w:marTop w:val="0"/>
      <w:marBottom w:val="0"/>
      <w:divBdr>
        <w:top w:val="none" w:sz="0" w:space="0" w:color="auto"/>
        <w:left w:val="none" w:sz="0" w:space="0" w:color="auto"/>
        <w:bottom w:val="none" w:sz="0" w:space="0" w:color="auto"/>
        <w:right w:val="none" w:sz="0" w:space="0" w:color="auto"/>
      </w:divBdr>
    </w:div>
    <w:div w:id="2101172516">
      <w:bodyDiv w:val="1"/>
      <w:marLeft w:val="0"/>
      <w:marRight w:val="0"/>
      <w:marTop w:val="0"/>
      <w:marBottom w:val="0"/>
      <w:divBdr>
        <w:top w:val="none" w:sz="0" w:space="0" w:color="auto"/>
        <w:left w:val="none" w:sz="0" w:space="0" w:color="auto"/>
        <w:bottom w:val="none" w:sz="0" w:space="0" w:color="auto"/>
        <w:right w:val="none" w:sz="0" w:space="0" w:color="auto"/>
      </w:divBdr>
    </w:div>
    <w:div w:id="2106539397">
      <w:bodyDiv w:val="1"/>
      <w:marLeft w:val="0"/>
      <w:marRight w:val="0"/>
      <w:marTop w:val="0"/>
      <w:marBottom w:val="0"/>
      <w:divBdr>
        <w:top w:val="none" w:sz="0" w:space="0" w:color="auto"/>
        <w:left w:val="none" w:sz="0" w:space="0" w:color="auto"/>
        <w:bottom w:val="none" w:sz="0" w:space="0" w:color="auto"/>
        <w:right w:val="none" w:sz="0" w:space="0" w:color="auto"/>
      </w:divBdr>
    </w:div>
    <w:div w:id="2114401614">
      <w:bodyDiv w:val="1"/>
      <w:marLeft w:val="0"/>
      <w:marRight w:val="0"/>
      <w:marTop w:val="0"/>
      <w:marBottom w:val="0"/>
      <w:divBdr>
        <w:top w:val="none" w:sz="0" w:space="0" w:color="auto"/>
        <w:left w:val="none" w:sz="0" w:space="0" w:color="auto"/>
        <w:bottom w:val="none" w:sz="0" w:space="0" w:color="auto"/>
        <w:right w:val="none" w:sz="0" w:space="0" w:color="auto"/>
      </w:divBdr>
    </w:div>
    <w:div w:id="212881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bi.org.in/scripts/BS_ViewMasCirculardetails.aspx?id=12367" TargetMode="External"/><Relationship Id="rId13" Type="http://schemas.openxmlformats.org/officeDocument/2006/relationships/hyperlink" Target="https://www.rbi.org.in/Scripts/NotificationUser.aspx?Id=12400&amp;Mode=0" TargetMode="External"/><Relationship Id="rId18" Type="http://schemas.openxmlformats.org/officeDocument/2006/relationships/hyperlink" Target="https://www.rbi.org.in/scripts/FS_Notification.aspx?Id=12401&amp;fn=2&amp;Mode=0" TargetMode="External"/><Relationship Id="rId26" Type="http://schemas.openxmlformats.org/officeDocument/2006/relationships/hyperlink" Target="https://www.rbi.org.in/Scripts/BS_ViewMasDirections.aspx?id=10598" TargetMode="External"/><Relationship Id="rId3" Type="http://schemas.openxmlformats.org/officeDocument/2006/relationships/styles" Target="styles.xml"/><Relationship Id="rId21" Type="http://schemas.openxmlformats.org/officeDocument/2006/relationships/hyperlink" Target="https://rbi.org.in/Scripts/NotificationUser.aspx?Id=10128&amp;Mode=0" TargetMode="External"/><Relationship Id="rId7" Type="http://schemas.openxmlformats.org/officeDocument/2006/relationships/hyperlink" Target="https://m.rbi.org.in/scripts/BS_ViewMasCirculardetails.aspx?id=12367" TargetMode="External"/><Relationship Id="rId12" Type="http://schemas.openxmlformats.org/officeDocument/2006/relationships/hyperlink" Target="https://www.rbi.org.in/Scripts/BS_ViewMasDirections.aspx?id=10586" TargetMode="External"/><Relationship Id="rId17" Type="http://schemas.openxmlformats.org/officeDocument/2006/relationships/hyperlink" Target="https://www.rbi.org.in/Scripts/BS_ViewMasDirections.aspx?id=12158" TargetMode="External"/><Relationship Id="rId25" Type="http://schemas.openxmlformats.org/officeDocument/2006/relationships/hyperlink" Target="https://www.rbi.org.in/scripts/NotificationUser.aspx?Id=12411&amp;Mode=0" TargetMode="External"/><Relationship Id="rId2" Type="http://schemas.openxmlformats.org/officeDocument/2006/relationships/numbering" Target="numbering.xml"/><Relationship Id="rId16" Type="http://schemas.openxmlformats.org/officeDocument/2006/relationships/hyperlink" Target="https://www.rbi.org.in/Scripts/NotificationUser.aspx?Id=12400&amp;Mode=0" TargetMode="External"/><Relationship Id="rId20" Type="http://schemas.openxmlformats.org/officeDocument/2006/relationships/hyperlink" Target="https://www.rbi.org.in/scripts/FS_Notification.aspx?Id=12401&amp;fn=2&amp;Mode=0" TargetMode="External"/><Relationship Id="rId29" Type="http://schemas.openxmlformats.org/officeDocument/2006/relationships/hyperlink" Target="https://m.rbi.org.in/Scripts/NotificationUser.aspx?Id=8968&amp;Mode=0" TargetMode="External"/><Relationship Id="rId1" Type="http://schemas.openxmlformats.org/officeDocument/2006/relationships/customXml" Target="../customXml/item1.xml"/><Relationship Id="rId6" Type="http://schemas.openxmlformats.org/officeDocument/2006/relationships/hyperlink" Target="https://m.rbi.org.in/scripts/BS_ViewMasCirculardetails.aspx?id=12367" TargetMode="External"/><Relationship Id="rId11" Type="http://schemas.openxmlformats.org/officeDocument/2006/relationships/hyperlink" Target="https://www.rbi.org.in/Scripts/NotificationUser.aspx?Id=12179&amp;Mode=0" TargetMode="External"/><Relationship Id="rId24" Type="http://schemas.openxmlformats.org/officeDocument/2006/relationships/hyperlink" Target="https://www.rbi.org.in/Scripts/NotificationUser.aspx?Id=12302&amp;Mode=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bi.org.in/Scripts/NotificationUser.aspx?Id=12400&amp;Mode=0" TargetMode="External"/><Relationship Id="rId23" Type="http://schemas.openxmlformats.org/officeDocument/2006/relationships/hyperlink" Target="https://www.rbi.org.in/scripts/FS_Notification.aspx?Id=12407&amp;fn=2&amp;Mode=0" TargetMode="External"/><Relationship Id="rId28" Type="http://schemas.openxmlformats.org/officeDocument/2006/relationships/hyperlink" Target="https://www.rbi.org.in/scripts/NotificationUser.aspx?Id=12412&amp;Mode=0" TargetMode="External"/><Relationship Id="rId10" Type="http://schemas.openxmlformats.org/officeDocument/2006/relationships/hyperlink" Target="https://www.rbi.org.in/Scripts/NotificationUser.aspx?Id=12396&amp;Mode=0" TargetMode="External"/><Relationship Id="rId19" Type="http://schemas.openxmlformats.org/officeDocument/2006/relationships/hyperlink" Target="https://www.rbi.org.in/scripts/FS_Notification.aspx?Id=12401&amp;fn=2&amp;Mode=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bi.org.in/Scripts/BS_ViewMasCirculardetails.aspx?id=12278" TargetMode="External"/><Relationship Id="rId14" Type="http://schemas.openxmlformats.org/officeDocument/2006/relationships/hyperlink" Target="https://www.rbi.org.in/Scripts/NotificationUser.aspx?Id=12400&amp;Mode=0" TargetMode="External"/><Relationship Id="rId22" Type="http://schemas.openxmlformats.org/officeDocument/2006/relationships/hyperlink" Target="https://www.rbi.org.in/scripts/FS_Notification.aspx?Id=12407&amp;fn=2&amp;Mode=0" TargetMode="External"/><Relationship Id="rId27" Type="http://schemas.openxmlformats.org/officeDocument/2006/relationships/hyperlink" Target="https://www.rbi.org.in/scripts/NotificationUser.aspx?Id=12412&amp;Mode=0" TargetMode="External"/><Relationship Id="rId30" Type="http://schemas.openxmlformats.org/officeDocument/2006/relationships/hyperlink" Target="https://m.rbi.org.in/scripts/BS_CircularIndexDisplay.aspx?Id=124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C7966-333F-4ED8-913A-430D02948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9</Pages>
  <Words>2670</Words>
  <Characters>15224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Srija Sarkar</cp:lastModifiedBy>
  <cp:revision>78</cp:revision>
  <dcterms:created xsi:type="dcterms:W3CDTF">2023-02-27T06:47:00Z</dcterms:created>
  <dcterms:modified xsi:type="dcterms:W3CDTF">2023-02-28T07:12:00Z</dcterms:modified>
</cp:coreProperties>
</file>